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21876">
      <w:pPr>
        <w:widowControl/>
        <w:rPr>
          <w:rFonts w:hint="eastAsia" w:ascii="黑体" w:hAnsi="黑体" w:eastAsia="黑体" w:cs="黑体"/>
          <w:sz w:val="32"/>
          <w:szCs w:val="32"/>
        </w:rPr>
      </w:pPr>
      <w:r>
        <w:rPr>
          <w:rFonts w:hint="eastAsia" w:ascii="黑体" w:hAnsi="黑体" w:eastAsia="黑体" w:cs="黑体"/>
          <w:sz w:val="32"/>
          <w:szCs w:val="32"/>
        </w:rPr>
        <w:t>附件3：</w:t>
      </w:r>
    </w:p>
    <w:p w14:paraId="0D121877">
      <w:pPr>
        <w:adjustRightInd w:val="0"/>
        <w:snapToGrid w:val="0"/>
        <w:spacing w:line="360" w:lineRule="auto"/>
        <w:ind w:firstLine="560" w:firstLineChars="200"/>
        <w:rPr>
          <w:rFonts w:ascii="Times New Roman" w:hAnsi="Times New Roman"/>
          <w:sz w:val="28"/>
          <w:szCs w:val="18"/>
        </w:rPr>
      </w:pPr>
    </w:p>
    <w:p w14:paraId="0D121878">
      <w:pPr>
        <w:widowControl/>
        <w:spacing w:line="360" w:lineRule="auto"/>
        <w:jc w:val="center"/>
        <w:rPr>
          <w:rFonts w:ascii="Times New Roman" w:hAnsi="Times New Roman" w:eastAsia="方正小标宋简体" w:cs="方正小标宋简体"/>
          <w:kern w:val="0"/>
          <w:sz w:val="48"/>
          <w:szCs w:val="44"/>
          <w:lang w:bidi="ar"/>
          <w14:ligatures w14:val="standardContextual"/>
        </w:rPr>
      </w:pPr>
      <w:r>
        <w:rPr>
          <w:rFonts w:hint="eastAsia" w:ascii="Times New Roman" w:hAnsi="Times New Roman" w:eastAsia="方正小标宋简体" w:cs="方正小标宋简体"/>
          <w:kern w:val="0"/>
          <w:sz w:val="48"/>
          <w:szCs w:val="44"/>
          <w:lang w:bidi="ar"/>
          <w14:ligatures w14:val="standardContextual"/>
        </w:rPr>
        <w:t>2026年中国技协数字孪生应用技术员</w:t>
      </w:r>
    </w:p>
    <w:p w14:paraId="0D121879">
      <w:pPr>
        <w:widowControl/>
        <w:spacing w:line="360" w:lineRule="auto"/>
        <w:jc w:val="center"/>
        <w:rPr>
          <w:rFonts w:ascii="Times New Roman" w:hAnsi="Times New Roman" w:eastAsia="方正小标宋简体" w:cs="方正小标宋简体"/>
          <w:kern w:val="0"/>
          <w:sz w:val="48"/>
          <w:szCs w:val="44"/>
          <w:lang w:bidi="ar"/>
          <w14:ligatures w14:val="standardContextual"/>
        </w:rPr>
      </w:pPr>
      <w:r>
        <w:rPr>
          <w:rFonts w:hint="eastAsia" w:ascii="Times New Roman" w:hAnsi="Times New Roman" w:eastAsia="方正小标宋简体" w:cs="方正小标宋简体"/>
          <w:kern w:val="0"/>
          <w:sz w:val="48"/>
          <w:szCs w:val="44"/>
          <w:lang w:bidi="ar"/>
          <w14:ligatures w14:val="standardContextual"/>
        </w:rPr>
        <w:t>行业创新应用技能竞赛暨长三角职工数字孪生应用技术员行业创新应用技能竞赛</w:t>
      </w:r>
    </w:p>
    <w:p w14:paraId="0D12187A">
      <w:pPr>
        <w:widowControl/>
        <w:spacing w:line="360" w:lineRule="auto"/>
        <w:jc w:val="center"/>
        <w:rPr>
          <w:rFonts w:ascii="Times New Roman" w:hAnsi="Times New Roman" w:eastAsia="方正小标宋简体" w:cs="方正小标宋简体"/>
          <w:kern w:val="0"/>
          <w:sz w:val="48"/>
          <w:szCs w:val="44"/>
          <w:lang w:bidi="ar"/>
          <w14:ligatures w14:val="standardContextual"/>
        </w:rPr>
      </w:pPr>
    </w:p>
    <w:p w14:paraId="0D12187B">
      <w:pPr>
        <w:widowControl/>
        <w:spacing w:line="360" w:lineRule="auto"/>
        <w:jc w:val="center"/>
        <w:rPr>
          <w:rFonts w:ascii="Times New Roman" w:hAnsi="Times New Roman" w:eastAsia="方正小标宋简体" w:cs="方正小标宋简体"/>
          <w:kern w:val="0"/>
          <w:sz w:val="96"/>
          <w:szCs w:val="44"/>
          <w:lang w:bidi="ar"/>
          <w14:ligatures w14:val="standardContextual"/>
        </w:rPr>
      </w:pPr>
      <w:r>
        <w:rPr>
          <w:rFonts w:hint="eastAsia" w:ascii="Times New Roman" w:hAnsi="Times New Roman" w:eastAsia="方正小标宋简体" w:cs="方正小标宋简体"/>
          <w:kern w:val="0"/>
          <w:sz w:val="96"/>
          <w:szCs w:val="44"/>
          <w:lang w:bidi="ar"/>
          <w14:ligatures w14:val="standardContextual"/>
        </w:rPr>
        <w:t>竞</w:t>
      </w:r>
    </w:p>
    <w:p w14:paraId="0D12187C">
      <w:pPr>
        <w:widowControl/>
        <w:spacing w:line="360" w:lineRule="auto"/>
        <w:jc w:val="center"/>
        <w:rPr>
          <w:rFonts w:ascii="Times New Roman" w:hAnsi="Times New Roman" w:eastAsia="方正小标宋简体" w:cs="方正小标宋简体"/>
          <w:kern w:val="0"/>
          <w:sz w:val="96"/>
          <w:szCs w:val="44"/>
          <w:lang w:bidi="ar"/>
          <w14:ligatures w14:val="standardContextual"/>
        </w:rPr>
      </w:pPr>
      <w:r>
        <w:rPr>
          <w:rFonts w:hint="eastAsia" w:ascii="Times New Roman" w:hAnsi="Times New Roman" w:eastAsia="方正小标宋简体" w:cs="方正小标宋简体"/>
          <w:kern w:val="0"/>
          <w:sz w:val="96"/>
          <w:szCs w:val="44"/>
          <w:lang w:bidi="ar"/>
          <w14:ligatures w14:val="standardContextual"/>
        </w:rPr>
        <w:t>赛</w:t>
      </w:r>
    </w:p>
    <w:p w14:paraId="0D12187D">
      <w:pPr>
        <w:widowControl/>
        <w:spacing w:line="360" w:lineRule="auto"/>
        <w:jc w:val="center"/>
        <w:rPr>
          <w:rFonts w:ascii="Times New Roman" w:hAnsi="Times New Roman" w:eastAsia="方正小标宋简体" w:cs="方正小标宋简体"/>
          <w:kern w:val="0"/>
          <w:sz w:val="96"/>
          <w:szCs w:val="44"/>
          <w:lang w:bidi="ar"/>
          <w14:ligatures w14:val="standardContextual"/>
        </w:rPr>
      </w:pPr>
      <w:r>
        <w:rPr>
          <w:rFonts w:hint="eastAsia" w:ascii="Times New Roman" w:hAnsi="Times New Roman" w:eastAsia="方正小标宋简体" w:cs="方正小标宋简体"/>
          <w:kern w:val="0"/>
          <w:sz w:val="96"/>
          <w:szCs w:val="44"/>
          <w:lang w:bidi="ar"/>
          <w14:ligatures w14:val="standardContextual"/>
        </w:rPr>
        <w:t>规</w:t>
      </w:r>
    </w:p>
    <w:p w14:paraId="0D12187E">
      <w:pPr>
        <w:widowControl/>
        <w:spacing w:line="360" w:lineRule="auto"/>
        <w:jc w:val="center"/>
        <w:rPr>
          <w:rFonts w:ascii="Times New Roman" w:hAnsi="Times New Roman" w:eastAsia="方正小标宋简体" w:cs="方正小标宋简体"/>
          <w:kern w:val="0"/>
          <w:sz w:val="96"/>
          <w:szCs w:val="44"/>
          <w:lang w:bidi="ar"/>
          <w14:ligatures w14:val="standardContextual"/>
        </w:rPr>
      </w:pPr>
      <w:r>
        <w:rPr>
          <w:rFonts w:hint="eastAsia" w:ascii="Times New Roman" w:hAnsi="Times New Roman" w:eastAsia="方正小标宋简体" w:cs="方正小标宋简体"/>
          <w:kern w:val="0"/>
          <w:sz w:val="96"/>
          <w:szCs w:val="44"/>
          <w:lang w:bidi="ar"/>
          <w14:ligatures w14:val="standardContextual"/>
        </w:rPr>
        <w:t>程</w:t>
      </w:r>
    </w:p>
    <w:p w14:paraId="0D12187F">
      <w:pPr>
        <w:widowControl/>
        <w:rPr>
          <w:rFonts w:ascii="Times New Roman" w:hAnsi="Times New Roman"/>
        </w:rPr>
      </w:pPr>
      <w:r>
        <w:rPr>
          <w:rFonts w:ascii="Times New Roman" w:hAnsi="Times New Roman"/>
        </w:rPr>
        <w:br w:type="page"/>
      </w:r>
    </w:p>
    <w:sdt>
      <w:sdtPr>
        <w:rPr>
          <w:rFonts w:ascii="Times New Roman" w:hAnsi="Times New Roman" w:eastAsiaTheme="minorEastAsia" w:cstheme="minorBidi"/>
          <w:color w:val="auto"/>
          <w:kern w:val="2"/>
          <w:sz w:val="21"/>
          <w:szCs w:val="24"/>
          <w:lang w:val="zh-CN"/>
        </w:rPr>
        <w:id w:val="-730233779"/>
        <w:docPartObj>
          <w:docPartGallery w:val="Table of Contents"/>
          <w:docPartUnique/>
        </w:docPartObj>
      </w:sdtPr>
      <w:sdtEndPr>
        <w:rPr>
          <w:rFonts w:ascii="Times New Roman" w:hAnsi="Times New Roman" w:eastAsiaTheme="minorEastAsia" w:cstheme="minorBidi"/>
          <w:b/>
          <w:bCs/>
          <w:color w:val="auto"/>
          <w:kern w:val="2"/>
          <w:sz w:val="21"/>
          <w:szCs w:val="24"/>
          <w:lang w:val="zh-CN"/>
        </w:rPr>
      </w:sdtEndPr>
      <w:sdtContent>
        <w:p w14:paraId="0D121880">
          <w:pPr>
            <w:pStyle w:val="10"/>
            <w:jc w:val="center"/>
            <w:rPr>
              <w:rFonts w:ascii="Times New Roman" w:hAnsi="Times New Roman"/>
              <w:b/>
              <w:color w:val="auto"/>
            </w:rPr>
          </w:pPr>
          <w:r>
            <w:rPr>
              <w:rFonts w:ascii="Times New Roman" w:hAnsi="Times New Roman"/>
              <w:b/>
              <w:color w:val="auto"/>
              <w:lang w:val="zh-CN"/>
            </w:rPr>
            <w:t>目</w:t>
          </w:r>
          <w:r>
            <w:rPr>
              <w:rFonts w:hint="eastAsia" w:ascii="Times New Roman" w:hAnsi="Times New Roman"/>
              <w:b/>
              <w:color w:val="auto"/>
              <w:lang w:val="zh-CN"/>
            </w:rPr>
            <w:t xml:space="preserve"> </w:t>
          </w:r>
          <w:bookmarkStart w:id="21" w:name="_GoBack"/>
          <w:bookmarkEnd w:id="21"/>
          <w:r>
            <w:rPr>
              <w:rFonts w:ascii="Times New Roman" w:hAnsi="Times New Roman"/>
              <w:b/>
              <w:color w:val="auto"/>
              <w:lang w:val="zh-CN"/>
            </w:rPr>
            <w:t xml:space="preserve"> 录</w:t>
          </w:r>
        </w:p>
        <w:p w14:paraId="0D121881">
          <w:pPr>
            <w:pStyle w:val="5"/>
            <w:tabs>
              <w:tab w:val="right" w:leader="dot" w:pos="8296"/>
            </w:tabs>
            <w:spacing w:line="360" w:lineRule="auto"/>
            <w:jc w:val="both"/>
            <w:rPr>
              <w:rFonts w:ascii="Times New Roman" w:hAnsi="Times New Roman" w:cstheme="minorBidi"/>
              <w:kern w:val="2"/>
              <w:sz w:val="24"/>
              <w:szCs w:val="24"/>
              <w14:ligatures w14:val="standardContextual"/>
            </w:rPr>
          </w:pPr>
          <w:r>
            <w:rPr>
              <w:rFonts w:ascii="Times New Roman" w:hAnsi="Times New Roman"/>
              <w:sz w:val="24"/>
            </w:rPr>
            <w:fldChar w:fldCharType="begin"/>
          </w:r>
          <w:r>
            <w:rPr>
              <w:rFonts w:ascii="Times New Roman" w:hAnsi="Times New Roman"/>
              <w:sz w:val="24"/>
            </w:rPr>
            <w:instrText xml:space="preserve"> TOC \o "1-3" \h \z \u </w:instrText>
          </w:r>
          <w:r>
            <w:rPr>
              <w:rFonts w:ascii="Times New Roman" w:hAnsi="Times New Roman"/>
              <w:sz w:val="24"/>
            </w:rPr>
            <w:fldChar w:fldCharType="separate"/>
          </w:r>
          <w:r>
            <w:fldChar w:fldCharType="begin"/>
          </w:r>
          <w:r>
            <w:instrText xml:space="preserve"> HYPERLINK \l "_Toc214452756" </w:instrText>
          </w:r>
          <w:r>
            <w:fldChar w:fldCharType="separate"/>
          </w:r>
          <w:r>
            <w:rPr>
              <w:rStyle w:val="9"/>
              <w:rFonts w:hint="eastAsia" w:ascii="Times New Roman" w:hAnsi="Times New Roman"/>
              <w:color w:val="auto"/>
              <w:sz w:val="24"/>
            </w:rPr>
            <w:t>一、竞赛项目与内容</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_Toc214452756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3</w:t>
          </w:r>
          <w:r>
            <w:rPr>
              <w:rFonts w:hint="eastAsia" w:ascii="Times New Roman" w:hAnsi="Times New Roman"/>
              <w:sz w:val="24"/>
            </w:rPr>
            <w:fldChar w:fldCharType="end"/>
          </w:r>
          <w:r>
            <w:rPr>
              <w:rFonts w:hint="eastAsia" w:ascii="Times New Roman" w:hAnsi="Times New Roman"/>
              <w:sz w:val="24"/>
            </w:rPr>
            <w:fldChar w:fldCharType="end"/>
          </w:r>
        </w:p>
        <w:p w14:paraId="0D121882">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"_Toc214452757" </w:instrText>
          </w:r>
          <w:r>
            <w:fldChar w:fldCharType="separate"/>
          </w:r>
          <w:r>
            <w:rPr>
              <w:rStyle w:val="9"/>
              <w:rFonts w:hint="eastAsia" w:ascii="Times New Roman" w:hAnsi="Times New Roman"/>
              <w:color w:val="auto"/>
              <w:sz w:val="24"/>
            </w:rPr>
            <w:t>1、竞赛项目</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_Toc214452757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3</w:t>
          </w:r>
          <w:r>
            <w:rPr>
              <w:rFonts w:hint="eastAsia" w:ascii="Times New Roman" w:hAnsi="Times New Roman"/>
              <w:sz w:val="24"/>
            </w:rPr>
            <w:fldChar w:fldCharType="end"/>
          </w:r>
          <w:r>
            <w:rPr>
              <w:rFonts w:hint="eastAsia" w:ascii="Times New Roman" w:hAnsi="Times New Roman"/>
              <w:sz w:val="24"/>
            </w:rPr>
            <w:fldChar w:fldCharType="end"/>
          </w:r>
        </w:p>
        <w:p w14:paraId="0D121883">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"_Toc214452758" </w:instrText>
          </w:r>
          <w:r>
            <w:fldChar w:fldCharType="separate"/>
          </w:r>
          <w:r>
            <w:rPr>
              <w:rStyle w:val="9"/>
              <w:rFonts w:hint="eastAsia" w:ascii="Times New Roman" w:hAnsi="Times New Roman"/>
              <w:color w:val="auto"/>
              <w:sz w:val="24"/>
            </w:rPr>
            <w:t>2、竞赛形式与时间</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_Toc214452758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3</w:t>
          </w:r>
          <w:r>
            <w:rPr>
              <w:rFonts w:hint="eastAsia" w:ascii="Times New Roman" w:hAnsi="Times New Roman"/>
              <w:sz w:val="24"/>
            </w:rPr>
            <w:fldChar w:fldCharType="end"/>
          </w:r>
          <w:r>
            <w:rPr>
              <w:rFonts w:hint="eastAsia" w:ascii="Times New Roman" w:hAnsi="Times New Roman"/>
              <w:sz w:val="24"/>
            </w:rPr>
            <w:fldChar w:fldCharType="end"/>
          </w:r>
        </w:p>
        <w:p w14:paraId="0D121884">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"_Toc214452759" </w:instrText>
          </w:r>
          <w:r>
            <w:fldChar w:fldCharType="separate"/>
          </w:r>
          <w:r>
            <w:rPr>
              <w:rStyle w:val="9"/>
              <w:rFonts w:hint="eastAsia" w:ascii="Times New Roman" w:hAnsi="Times New Roman"/>
              <w:color w:val="auto"/>
              <w:sz w:val="24"/>
            </w:rPr>
            <w:t>3、竞赛内容</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_Toc214452759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3</w:t>
          </w:r>
          <w:r>
            <w:rPr>
              <w:rFonts w:hint="eastAsia" w:ascii="Times New Roman" w:hAnsi="Times New Roman"/>
              <w:sz w:val="24"/>
            </w:rPr>
            <w:fldChar w:fldCharType="end"/>
          </w:r>
          <w:r>
            <w:rPr>
              <w:rFonts w:hint="eastAsia" w:ascii="Times New Roman" w:hAnsi="Times New Roman"/>
              <w:sz w:val="24"/>
            </w:rPr>
            <w:fldChar w:fldCharType="end"/>
          </w:r>
        </w:p>
        <w:p w14:paraId="0D121885">
          <w:pPr>
            <w:pStyle w:val="5"/>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"_Toc214452760" </w:instrText>
          </w:r>
          <w:r>
            <w:fldChar w:fldCharType="separate"/>
          </w:r>
          <w:r>
            <w:rPr>
              <w:rStyle w:val="9"/>
              <w:rFonts w:hint="eastAsia" w:ascii="Times New Roman" w:hAnsi="Times New Roman"/>
              <w:color w:val="auto"/>
              <w:sz w:val="24"/>
            </w:rPr>
            <w:t>二、命题与评分</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_Toc214452760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5</w:t>
          </w:r>
          <w:r>
            <w:rPr>
              <w:rFonts w:hint="eastAsia" w:ascii="Times New Roman" w:hAnsi="Times New Roman"/>
              <w:sz w:val="24"/>
            </w:rPr>
            <w:fldChar w:fldCharType="end"/>
          </w:r>
          <w:r>
            <w:rPr>
              <w:rFonts w:hint="eastAsia" w:ascii="Times New Roman" w:hAnsi="Times New Roman"/>
              <w:sz w:val="24"/>
            </w:rPr>
            <w:fldChar w:fldCharType="end"/>
          </w:r>
        </w:p>
        <w:p w14:paraId="0D121886">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"_Toc214452761" </w:instrText>
          </w:r>
          <w:r>
            <w:fldChar w:fldCharType="separate"/>
          </w:r>
          <w:r>
            <w:rPr>
              <w:rStyle w:val="9"/>
              <w:rFonts w:hint="eastAsia" w:ascii="Times New Roman" w:hAnsi="Times New Roman"/>
              <w:color w:val="auto"/>
              <w:sz w:val="24"/>
            </w:rPr>
            <w:t>1、命题</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_Toc214452761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5</w:t>
          </w:r>
          <w:r>
            <w:rPr>
              <w:rFonts w:hint="eastAsia" w:ascii="Times New Roman" w:hAnsi="Times New Roman"/>
              <w:sz w:val="24"/>
            </w:rPr>
            <w:fldChar w:fldCharType="end"/>
          </w:r>
          <w:r>
            <w:rPr>
              <w:rFonts w:hint="eastAsia" w:ascii="Times New Roman" w:hAnsi="Times New Roman"/>
              <w:sz w:val="24"/>
            </w:rPr>
            <w:fldChar w:fldCharType="end"/>
          </w:r>
        </w:p>
        <w:p w14:paraId="0D121887">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"_Toc214452762" </w:instrText>
          </w:r>
          <w:r>
            <w:fldChar w:fldCharType="separate"/>
          </w:r>
          <w:r>
            <w:rPr>
              <w:rStyle w:val="9"/>
              <w:rFonts w:hint="eastAsia" w:ascii="Times New Roman" w:hAnsi="Times New Roman"/>
              <w:color w:val="auto"/>
              <w:sz w:val="24"/>
            </w:rPr>
            <w:t>2、评分</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_Toc214452762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5</w:t>
          </w:r>
          <w:r>
            <w:rPr>
              <w:rFonts w:hint="eastAsia" w:ascii="Times New Roman" w:hAnsi="Times New Roman"/>
              <w:sz w:val="24"/>
            </w:rPr>
            <w:fldChar w:fldCharType="end"/>
          </w:r>
          <w:r>
            <w:rPr>
              <w:rFonts w:hint="eastAsia" w:ascii="Times New Roman" w:hAnsi="Times New Roman"/>
              <w:sz w:val="24"/>
            </w:rPr>
            <w:fldChar w:fldCharType="end"/>
          </w:r>
        </w:p>
        <w:p w14:paraId="0D121888">
          <w:pPr>
            <w:pStyle w:val="5"/>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"_Toc214452763" </w:instrText>
          </w:r>
          <w:r>
            <w:fldChar w:fldCharType="separate"/>
          </w:r>
          <w:r>
            <w:rPr>
              <w:rStyle w:val="9"/>
              <w:rFonts w:hint="eastAsia" w:ascii="Times New Roman" w:hAnsi="Times New Roman"/>
              <w:color w:val="auto"/>
              <w:sz w:val="24"/>
            </w:rPr>
            <w:t>三、竞赛设备与设施</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_Toc214452763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6</w:t>
          </w:r>
          <w:r>
            <w:rPr>
              <w:rFonts w:hint="eastAsia" w:ascii="Times New Roman" w:hAnsi="Times New Roman"/>
              <w:sz w:val="24"/>
            </w:rPr>
            <w:fldChar w:fldCharType="end"/>
          </w:r>
          <w:r>
            <w:rPr>
              <w:rFonts w:hint="eastAsia" w:ascii="Times New Roman" w:hAnsi="Times New Roman"/>
              <w:sz w:val="24"/>
            </w:rPr>
            <w:fldChar w:fldCharType="end"/>
          </w:r>
        </w:p>
        <w:p w14:paraId="0D121889">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"_Toc214452764" </w:instrText>
          </w:r>
          <w:r>
            <w:fldChar w:fldCharType="separate"/>
          </w:r>
          <w:r>
            <w:rPr>
              <w:rStyle w:val="9"/>
              <w:rFonts w:hint="eastAsia" w:ascii="Times New Roman" w:hAnsi="Times New Roman"/>
              <w:color w:val="auto"/>
              <w:sz w:val="24"/>
            </w:rPr>
            <w:t>1、赛场提供的设备</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_Toc214452764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6</w:t>
          </w:r>
          <w:r>
            <w:rPr>
              <w:rFonts w:hint="eastAsia" w:ascii="Times New Roman" w:hAnsi="Times New Roman"/>
              <w:sz w:val="24"/>
            </w:rPr>
            <w:fldChar w:fldCharType="end"/>
          </w:r>
          <w:r>
            <w:rPr>
              <w:rFonts w:hint="eastAsia" w:ascii="Times New Roman" w:hAnsi="Times New Roman"/>
              <w:sz w:val="24"/>
            </w:rPr>
            <w:fldChar w:fldCharType="end"/>
          </w:r>
        </w:p>
        <w:p w14:paraId="0D12188A">
          <w:pPr>
            <w:pStyle w:val="3"/>
            <w:tabs>
              <w:tab w:val="right" w:leader="dot" w:pos="8296"/>
            </w:tabs>
            <w:spacing w:line="360" w:lineRule="auto"/>
            <w:ind w:left="0" w:firstLine="220" w:firstLineChars="100"/>
            <w:jc w:val="both"/>
            <w:rPr>
              <w:rFonts w:ascii="Times New Roman" w:hAnsi="Times New Roman" w:cstheme="minorBidi"/>
              <w:kern w:val="2"/>
              <w:sz w:val="24"/>
              <w:szCs w:val="24"/>
              <w14:ligatures w14:val="standardContextual"/>
            </w:rPr>
          </w:pPr>
          <w:r>
            <w:fldChar w:fldCharType="begin"/>
          </w:r>
          <w:r>
            <w:instrText xml:space="preserve"> HYPERLINK \l "_Toc214452765" </w:instrText>
          </w:r>
          <w:r>
            <w:fldChar w:fldCharType="separate"/>
          </w:r>
          <w:r>
            <w:rPr>
              <w:rStyle w:val="9"/>
              <w:rFonts w:hint="eastAsia" w:ascii="Times New Roman" w:hAnsi="Times New Roman"/>
              <w:color w:val="auto"/>
              <w:sz w:val="24"/>
            </w:rPr>
            <w:t>1）操作平台</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_Toc214452765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7</w:t>
          </w:r>
          <w:r>
            <w:rPr>
              <w:rFonts w:hint="eastAsia" w:ascii="Times New Roman" w:hAnsi="Times New Roman"/>
              <w:sz w:val="24"/>
            </w:rPr>
            <w:fldChar w:fldCharType="end"/>
          </w:r>
          <w:r>
            <w:rPr>
              <w:rFonts w:hint="eastAsia" w:ascii="Times New Roman" w:hAnsi="Times New Roman"/>
              <w:sz w:val="24"/>
            </w:rPr>
            <w:fldChar w:fldCharType="end"/>
          </w:r>
        </w:p>
        <w:p w14:paraId="0D12188B">
          <w:pPr>
            <w:pStyle w:val="3"/>
            <w:tabs>
              <w:tab w:val="right" w:leader="dot" w:pos="8296"/>
            </w:tabs>
            <w:spacing w:line="360" w:lineRule="auto"/>
            <w:ind w:left="0" w:firstLine="220" w:firstLineChars="100"/>
            <w:jc w:val="both"/>
            <w:rPr>
              <w:rFonts w:ascii="Times New Roman" w:hAnsi="Times New Roman" w:cstheme="minorBidi"/>
              <w:kern w:val="2"/>
              <w:sz w:val="24"/>
              <w:szCs w:val="24"/>
              <w14:ligatures w14:val="standardContextual"/>
            </w:rPr>
          </w:pPr>
          <w:r>
            <w:fldChar w:fldCharType="begin"/>
          </w:r>
          <w:r>
            <w:instrText xml:space="preserve"> HYPERLINK \l "_Toc214452766" </w:instrText>
          </w:r>
          <w:r>
            <w:fldChar w:fldCharType="separate"/>
          </w:r>
          <w:r>
            <w:rPr>
              <w:rStyle w:val="9"/>
              <w:rFonts w:hint="eastAsia" w:ascii="Times New Roman" w:hAnsi="Times New Roman"/>
              <w:color w:val="auto"/>
              <w:sz w:val="24"/>
            </w:rPr>
            <w:t>2）工业机器人模块</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_Toc214452766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8</w:t>
          </w:r>
          <w:r>
            <w:rPr>
              <w:rFonts w:hint="eastAsia" w:ascii="Times New Roman" w:hAnsi="Times New Roman"/>
              <w:sz w:val="24"/>
            </w:rPr>
            <w:fldChar w:fldCharType="end"/>
          </w:r>
          <w:r>
            <w:rPr>
              <w:rFonts w:hint="eastAsia" w:ascii="Times New Roman" w:hAnsi="Times New Roman"/>
              <w:sz w:val="24"/>
            </w:rPr>
            <w:fldChar w:fldCharType="end"/>
          </w:r>
        </w:p>
        <w:p w14:paraId="0D12188C">
          <w:pPr>
            <w:pStyle w:val="3"/>
            <w:tabs>
              <w:tab w:val="right" w:leader="dot" w:pos="8296"/>
            </w:tabs>
            <w:spacing w:line="360" w:lineRule="auto"/>
            <w:ind w:left="0" w:firstLine="220" w:firstLineChars="100"/>
            <w:jc w:val="both"/>
            <w:rPr>
              <w:rFonts w:ascii="Times New Roman" w:hAnsi="Times New Roman" w:cstheme="minorBidi"/>
              <w:kern w:val="2"/>
              <w:sz w:val="24"/>
              <w:szCs w:val="24"/>
              <w14:ligatures w14:val="standardContextual"/>
            </w:rPr>
          </w:pPr>
          <w:r>
            <w:fldChar w:fldCharType="begin"/>
          </w:r>
          <w:r>
            <w:instrText xml:space="preserve"> HYPERLINK \l "_Toc214452767" </w:instrText>
          </w:r>
          <w:r>
            <w:fldChar w:fldCharType="separate"/>
          </w:r>
          <w:r>
            <w:rPr>
              <w:rStyle w:val="9"/>
              <w:rFonts w:hint="eastAsia" w:ascii="Times New Roman" w:hAnsi="Times New Roman"/>
              <w:color w:val="auto"/>
              <w:sz w:val="24"/>
            </w:rPr>
            <w:t>3）输送分拣模块</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_Toc214452767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8</w:t>
          </w:r>
          <w:r>
            <w:rPr>
              <w:rFonts w:hint="eastAsia" w:ascii="Times New Roman" w:hAnsi="Times New Roman"/>
              <w:sz w:val="24"/>
            </w:rPr>
            <w:fldChar w:fldCharType="end"/>
          </w:r>
          <w:r>
            <w:rPr>
              <w:rFonts w:hint="eastAsia" w:ascii="Times New Roman" w:hAnsi="Times New Roman"/>
              <w:sz w:val="24"/>
            </w:rPr>
            <w:fldChar w:fldCharType="end"/>
          </w:r>
        </w:p>
        <w:p w14:paraId="0D12188D">
          <w:pPr>
            <w:pStyle w:val="3"/>
            <w:tabs>
              <w:tab w:val="right" w:leader="dot" w:pos="8296"/>
            </w:tabs>
            <w:spacing w:line="360" w:lineRule="auto"/>
            <w:ind w:left="0" w:firstLine="220" w:firstLineChars="100"/>
            <w:jc w:val="both"/>
            <w:rPr>
              <w:rFonts w:ascii="Times New Roman" w:hAnsi="Times New Roman" w:cstheme="minorBidi"/>
              <w:kern w:val="2"/>
              <w:sz w:val="24"/>
              <w:szCs w:val="24"/>
              <w14:ligatures w14:val="standardContextual"/>
            </w:rPr>
          </w:pPr>
          <w:r>
            <w:fldChar w:fldCharType="begin"/>
          </w:r>
          <w:r>
            <w:instrText xml:space="preserve"> HYPERLINK \l "_Toc214452768" </w:instrText>
          </w:r>
          <w:r>
            <w:fldChar w:fldCharType="separate"/>
          </w:r>
          <w:r>
            <w:rPr>
              <w:rStyle w:val="9"/>
              <w:rFonts w:hint="eastAsia" w:ascii="Times New Roman" w:hAnsi="Times New Roman"/>
              <w:color w:val="auto"/>
              <w:sz w:val="24"/>
            </w:rPr>
            <w:t>4）仓储模块</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_Toc214452768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9</w:t>
          </w:r>
          <w:r>
            <w:rPr>
              <w:rFonts w:hint="eastAsia" w:ascii="Times New Roman" w:hAnsi="Times New Roman"/>
              <w:sz w:val="24"/>
            </w:rPr>
            <w:fldChar w:fldCharType="end"/>
          </w:r>
          <w:r>
            <w:rPr>
              <w:rFonts w:hint="eastAsia" w:ascii="Times New Roman" w:hAnsi="Times New Roman"/>
              <w:sz w:val="24"/>
            </w:rPr>
            <w:fldChar w:fldCharType="end"/>
          </w:r>
        </w:p>
        <w:p w14:paraId="0D12188E">
          <w:pPr>
            <w:pStyle w:val="3"/>
            <w:tabs>
              <w:tab w:val="right" w:leader="dot" w:pos="8296"/>
            </w:tabs>
            <w:spacing w:line="360" w:lineRule="auto"/>
            <w:ind w:left="0" w:firstLine="220" w:firstLineChars="100"/>
            <w:jc w:val="both"/>
            <w:rPr>
              <w:rFonts w:ascii="Times New Roman" w:hAnsi="Times New Roman" w:cstheme="minorBidi"/>
              <w:kern w:val="2"/>
              <w:sz w:val="24"/>
              <w:szCs w:val="24"/>
              <w14:ligatures w14:val="standardContextual"/>
            </w:rPr>
          </w:pPr>
          <w:r>
            <w:fldChar w:fldCharType="begin"/>
          </w:r>
          <w:r>
            <w:instrText xml:space="preserve"> HYPERLINK \l "_Toc214452769" </w:instrText>
          </w:r>
          <w:r>
            <w:fldChar w:fldCharType="separate"/>
          </w:r>
          <w:r>
            <w:rPr>
              <w:rStyle w:val="9"/>
              <w:rFonts w:hint="eastAsia" w:ascii="Times New Roman" w:hAnsi="Times New Roman"/>
              <w:color w:val="auto"/>
              <w:sz w:val="24"/>
            </w:rPr>
            <w:t>5）模拟机床模块</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_Toc214452769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9</w:t>
          </w:r>
          <w:r>
            <w:rPr>
              <w:rFonts w:hint="eastAsia" w:ascii="Times New Roman" w:hAnsi="Times New Roman"/>
              <w:sz w:val="24"/>
            </w:rPr>
            <w:fldChar w:fldCharType="end"/>
          </w:r>
          <w:r>
            <w:rPr>
              <w:rFonts w:hint="eastAsia" w:ascii="Times New Roman" w:hAnsi="Times New Roman"/>
              <w:sz w:val="24"/>
            </w:rPr>
            <w:fldChar w:fldCharType="end"/>
          </w:r>
        </w:p>
        <w:p w14:paraId="0D12188F">
          <w:pPr>
            <w:pStyle w:val="3"/>
            <w:tabs>
              <w:tab w:val="right" w:leader="dot" w:pos="8296"/>
            </w:tabs>
            <w:spacing w:line="360" w:lineRule="auto"/>
            <w:ind w:left="0" w:firstLine="220" w:firstLineChars="100"/>
            <w:jc w:val="both"/>
            <w:rPr>
              <w:rFonts w:ascii="Times New Roman" w:hAnsi="Times New Roman" w:cstheme="minorBidi"/>
              <w:kern w:val="2"/>
              <w:sz w:val="24"/>
              <w:szCs w:val="24"/>
              <w14:ligatures w14:val="standardContextual"/>
            </w:rPr>
          </w:pPr>
          <w:r>
            <w:fldChar w:fldCharType="begin"/>
          </w:r>
          <w:r>
            <w:instrText xml:space="preserve"> HYPERLINK \l "_Toc214452770" </w:instrText>
          </w:r>
          <w:r>
            <w:fldChar w:fldCharType="separate"/>
          </w:r>
          <w:r>
            <w:rPr>
              <w:rStyle w:val="9"/>
              <w:rFonts w:hint="eastAsia" w:ascii="Times New Roman" w:hAnsi="Times New Roman"/>
              <w:color w:val="auto"/>
              <w:sz w:val="24"/>
            </w:rPr>
            <w:t>6）三维轨迹模块</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_Toc214452770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10</w:t>
          </w:r>
          <w:r>
            <w:rPr>
              <w:rFonts w:hint="eastAsia" w:ascii="Times New Roman" w:hAnsi="Times New Roman"/>
              <w:sz w:val="24"/>
            </w:rPr>
            <w:fldChar w:fldCharType="end"/>
          </w:r>
          <w:r>
            <w:rPr>
              <w:rFonts w:hint="eastAsia" w:ascii="Times New Roman" w:hAnsi="Times New Roman"/>
              <w:sz w:val="24"/>
            </w:rPr>
            <w:fldChar w:fldCharType="end"/>
          </w:r>
        </w:p>
        <w:p w14:paraId="0D121890">
          <w:pPr>
            <w:pStyle w:val="3"/>
            <w:tabs>
              <w:tab w:val="right" w:leader="dot" w:pos="8296"/>
            </w:tabs>
            <w:spacing w:line="360" w:lineRule="auto"/>
            <w:ind w:left="0" w:firstLine="220" w:firstLineChars="100"/>
            <w:jc w:val="both"/>
            <w:rPr>
              <w:rFonts w:ascii="Times New Roman" w:hAnsi="Times New Roman" w:cstheme="minorBidi"/>
              <w:kern w:val="2"/>
              <w:sz w:val="24"/>
              <w:szCs w:val="24"/>
              <w14:ligatures w14:val="standardContextual"/>
            </w:rPr>
          </w:pPr>
          <w:r>
            <w:fldChar w:fldCharType="begin"/>
          </w:r>
          <w:r>
            <w:instrText xml:space="preserve"> HYPERLINK \l "_Toc214452771" </w:instrText>
          </w:r>
          <w:r>
            <w:fldChar w:fldCharType="separate"/>
          </w:r>
          <w:r>
            <w:rPr>
              <w:rStyle w:val="9"/>
              <w:rFonts w:hint="eastAsia" w:ascii="Times New Roman" w:hAnsi="Times New Roman"/>
              <w:color w:val="auto"/>
              <w:sz w:val="24"/>
            </w:rPr>
            <w:t>7）人机交互模块</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_Toc214452771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10</w:t>
          </w:r>
          <w:r>
            <w:rPr>
              <w:rFonts w:hint="eastAsia" w:ascii="Times New Roman" w:hAnsi="Times New Roman"/>
              <w:sz w:val="24"/>
            </w:rPr>
            <w:fldChar w:fldCharType="end"/>
          </w:r>
          <w:r>
            <w:rPr>
              <w:rFonts w:hint="eastAsia" w:ascii="Times New Roman" w:hAnsi="Times New Roman"/>
              <w:sz w:val="24"/>
            </w:rPr>
            <w:fldChar w:fldCharType="end"/>
          </w:r>
        </w:p>
        <w:p w14:paraId="0D121891">
          <w:pPr>
            <w:pStyle w:val="3"/>
            <w:tabs>
              <w:tab w:val="right" w:leader="dot" w:pos="8296"/>
            </w:tabs>
            <w:spacing w:line="360" w:lineRule="auto"/>
            <w:ind w:left="0" w:firstLine="220" w:firstLineChars="100"/>
            <w:jc w:val="both"/>
            <w:rPr>
              <w:rFonts w:ascii="Times New Roman" w:hAnsi="Times New Roman" w:cstheme="minorBidi"/>
              <w:kern w:val="2"/>
              <w:sz w:val="24"/>
              <w:szCs w:val="24"/>
              <w14:ligatures w14:val="standardContextual"/>
            </w:rPr>
          </w:pPr>
          <w:r>
            <w:fldChar w:fldCharType="begin"/>
          </w:r>
          <w:r>
            <w:instrText xml:space="preserve"> HYPERLINK \l "_Toc214452772" </w:instrText>
          </w:r>
          <w:r>
            <w:fldChar w:fldCharType="separate"/>
          </w:r>
          <w:r>
            <w:rPr>
              <w:rStyle w:val="9"/>
              <w:rFonts w:hint="eastAsia" w:ascii="Times New Roman" w:hAnsi="Times New Roman"/>
              <w:color w:val="auto"/>
              <w:sz w:val="24"/>
            </w:rPr>
            <w:t>8）电气控制模块</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_Toc214452772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10</w:t>
          </w:r>
          <w:r>
            <w:rPr>
              <w:rFonts w:hint="eastAsia" w:ascii="Times New Roman" w:hAnsi="Times New Roman"/>
              <w:sz w:val="24"/>
            </w:rPr>
            <w:fldChar w:fldCharType="end"/>
          </w:r>
          <w:r>
            <w:rPr>
              <w:rFonts w:hint="eastAsia" w:ascii="Times New Roman" w:hAnsi="Times New Roman"/>
              <w:sz w:val="24"/>
            </w:rPr>
            <w:fldChar w:fldCharType="end"/>
          </w:r>
        </w:p>
        <w:p w14:paraId="0D121892">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"_Toc214452773" </w:instrText>
          </w:r>
          <w:r>
            <w:fldChar w:fldCharType="separate"/>
          </w:r>
          <w:r>
            <w:rPr>
              <w:rStyle w:val="9"/>
              <w:rFonts w:hint="eastAsia" w:ascii="Times New Roman" w:hAnsi="Times New Roman"/>
              <w:color w:val="auto"/>
              <w:sz w:val="24"/>
            </w:rPr>
            <w:t>2、每个比赛工位配置设施</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_Toc214452773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11</w:t>
          </w:r>
          <w:r>
            <w:rPr>
              <w:rFonts w:hint="eastAsia" w:ascii="Times New Roman" w:hAnsi="Times New Roman"/>
              <w:sz w:val="24"/>
            </w:rPr>
            <w:fldChar w:fldCharType="end"/>
          </w:r>
          <w:r>
            <w:rPr>
              <w:rFonts w:hint="eastAsia" w:ascii="Times New Roman" w:hAnsi="Times New Roman"/>
              <w:sz w:val="24"/>
            </w:rPr>
            <w:fldChar w:fldCharType="end"/>
          </w:r>
        </w:p>
        <w:p w14:paraId="0D121893">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"_Toc214452774" </w:instrText>
          </w:r>
          <w:r>
            <w:fldChar w:fldCharType="separate"/>
          </w:r>
          <w:r>
            <w:rPr>
              <w:rStyle w:val="9"/>
              <w:rFonts w:hint="eastAsia" w:ascii="Times New Roman" w:hAnsi="Times New Roman"/>
              <w:color w:val="auto"/>
              <w:sz w:val="24"/>
            </w:rPr>
            <w:t>3、赛场辅助设施</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_Toc214452774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11</w:t>
          </w:r>
          <w:r>
            <w:rPr>
              <w:rFonts w:hint="eastAsia" w:ascii="Times New Roman" w:hAnsi="Times New Roman"/>
              <w:sz w:val="24"/>
            </w:rPr>
            <w:fldChar w:fldCharType="end"/>
          </w:r>
          <w:r>
            <w:rPr>
              <w:rFonts w:hint="eastAsia" w:ascii="Times New Roman" w:hAnsi="Times New Roman"/>
              <w:sz w:val="24"/>
            </w:rPr>
            <w:fldChar w:fldCharType="end"/>
          </w:r>
        </w:p>
        <w:p w14:paraId="0D121894">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"_Toc214452775" </w:instrText>
          </w:r>
          <w:r>
            <w:fldChar w:fldCharType="separate"/>
          </w:r>
          <w:r>
            <w:rPr>
              <w:rStyle w:val="9"/>
              <w:rFonts w:hint="eastAsia" w:ascii="Times New Roman" w:hAnsi="Times New Roman"/>
              <w:color w:val="auto"/>
              <w:sz w:val="24"/>
            </w:rPr>
            <w:t>4、工具仪器</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_Toc214452775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12</w:t>
          </w:r>
          <w:r>
            <w:rPr>
              <w:rFonts w:hint="eastAsia" w:ascii="Times New Roman" w:hAnsi="Times New Roman"/>
              <w:sz w:val="24"/>
            </w:rPr>
            <w:fldChar w:fldCharType="end"/>
          </w:r>
          <w:r>
            <w:rPr>
              <w:rFonts w:hint="eastAsia" w:ascii="Times New Roman" w:hAnsi="Times New Roman"/>
              <w:sz w:val="24"/>
            </w:rPr>
            <w:fldChar w:fldCharType="end"/>
          </w:r>
        </w:p>
        <w:p w14:paraId="0D121895">
          <w:pPr>
            <w:pStyle w:val="6"/>
            <w:tabs>
              <w:tab w:val="right" w:leader="dot" w:pos="8296"/>
            </w:tabs>
            <w:spacing w:line="360" w:lineRule="auto"/>
            <w:jc w:val="both"/>
            <w:rPr>
              <w:rFonts w:ascii="Times New Roman" w:hAnsi="Times New Roman" w:cstheme="minorBidi"/>
              <w:kern w:val="2"/>
              <w:sz w:val="24"/>
              <w:szCs w:val="24"/>
              <w14:ligatures w14:val="standardContextual"/>
            </w:rPr>
          </w:pPr>
          <w:r>
            <w:fldChar w:fldCharType="begin"/>
          </w:r>
          <w:r>
            <w:instrText xml:space="preserve"> HYPERLINK \l "_Toc214452776" </w:instrText>
          </w:r>
          <w:r>
            <w:fldChar w:fldCharType="separate"/>
          </w:r>
          <w:r>
            <w:rPr>
              <w:rStyle w:val="9"/>
              <w:rFonts w:hint="eastAsia" w:ascii="Times New Roman" w:hAnsi="Times New Roman"/>
              <w:color w:val="auto"/>
              <w:sz w:val="24"/>
            </w:rPr>
            <w:t>5、竞赛用耗材</w:t>
          </w:r>
          <w:r>
            <w:rPr>
              <w:rFonts w:hint="eastAsia" w:ascii="Times New Roman" w:hAnsi="Times New Roman"/>
              <w:sz w:val="24"/>
            </w:rPr>
            <w:tab/>
          </w:r>
          <w:r>
            <w:rPr>
              <w:rFonts w:hint="eastAsia" w:ascii="Times New Roman" w:hAnsi="Times New Roman"/>
              <w:sz w:val="24"/>
            </w:rPr>
            <w:fldChar w:fldCharType="begin"/>
          </w:r>
          <w:r>
            <w:rPr>
              <w:rFonts w:hint="eastAsia" w:ascii="Times New Roman" w:hAnsi="Times New Roman"/>
              <w:sz w:val="24"/>
            </w:rPr>
            <w:instrText xml:space="preserve"> </w:instrText>
          </w:r>
          <w:r>
            <w:rPr>
              <w:rFonts w:ascii="Times New Roman" w:hAnsi="Times New Roman"/>
              <w:sz w:val="24"/>
            </w:rPr>
            <w:instrText xml:space="preserve">PAGEREF _Toc214452776 \h</w:instrText>
          </w:r>
          <w:r>
            <w:rPr>
              <w:rFonts w:hint="eastAsia" w:ascii="Times New Roman" w:hAnsi="Times New Roman"/>
              <w:sz w:val="24"/>
            </w:rPr>
            <w:instrText xml:space="preserve"> </w:instrText>
          </w:r>
          <w:r>
            <w:rPr>
              <w:rFonts w:hint="eastAsia" w:ascii="Times New Roman" w:hAnsi="Times New Roman"/>
              <w:sz w:val="24"/>
            </w:rPr>
            <w:fldChar w:fldCharType="separate"/>
          </w:r>
          <w:r>
            <w:rPr>
              <w:rFonts w:ascii="Times New Roman" w:hAnsi="Times New Roman"/>
              <w:sz w:val="24"/>
            </w:rPr>
            <w:t>12</w:t>
          </w:r>
          <w:r>
            <w:rPr>
              <w:rFonts w:hint="eastAsia" w:ascii="Times New Roman" w:hAnsi="Times New Roman"/>
              <w:sz w:val="24"/>
            </w:rPr>
            <w:fldChar w:fldCharType="end"/>
          </w:r>
          <w:r>
            <w:rPr>
              <w:rFonts w:hint="eastAsia" w:ascii="Times New Roman" w:hAnsi="Times New Roman"/>
              <w:sz w:val="24"/>
            </w:rPr>
            <w:fldChar w:fldCharType="end"/>
          </w:r>
        </w:p>
        <w:p w14:paraId="0D121896">
          <w:pPr>
            <w:spacing w:line="360" w:lineRule="auto"/>
            <w:rPr>
              <w:rFonts w:ascii="Times New Roman" w:hAnsi="Times New Roman"/>
              <w:b/>
              <w:bCs/>
              <w:lang w:val="zh-CN"/>
            </w:rPr>
          </w:pPr>
          <w:r>
            <w:rPr>
              <w:rFonts w:ascii="Times New Roman" w:hAnsi="Times New Roman"/>
              <w:b/>
              <w:bCs/>
              <w:sz w:val="22"/>
              <w:lang w:val="zh-CN"/>
            </w:rPr>
            <w:fldChar w:fldCharType="end"/>
          </w:r>
        </w:p>
      </w:sdtContent>
    </w:sdt>
    <w:p w14:paraId="0D121897">
      <w:pPr>
        <w:rPr>
          <w:rFonts w:ascii="Times New Roman" w:hAnsi="Times New Roman"/>
        </w:rPr>
      </w:pPr>
    </w:p>
    <w:p w14:paraId="0D121898">
      <w:pPr>
        <w:widowControl/>
        <w:rPr>
          <w:rFonts w:ascii="Times New Roman" w:hAnsi="Times New Roman"/>
          <w:b/>
          <w:kern w:val="44"/>
          <w:sz w:val="28"/>
          <w:szCs w:val="18"/>
        </w:rPr>
      </w:pPr>
      <w:r>
        <w:rPr>
          <w:rFonts w:ascii="Times New Roman" w:hAnsi="Times New Roman"/>
          <w:sz w:val="28"/>
          <w:szCs w:val="18"/>
        </w:rPr>
        <w:br w:type="page"/>
      </w:r>
    </w:p>
    <w:p w14:paraId="0D121899">
      <w:pPr>
        <w:keepNext/>
        <w:keepLines/>
        <w:adjustRightInd w:val="0"/>
        <w:snapToGrid w:val="0"/>
        <w:spacing w:line="360" w:lineRule="auto"/>
        <w:ind w:firstLine="640" w:firstLineChars="200"/>
        <w:outlineLvl w:val="0"/>
        <w:rPr>
          <w:rFonts w:hint="eastAsia" w:ascii="黑体" w:hAnsi="黑体" w:eastAsia="黑体" w:cs="黑体"/>
          <w:bCs/>
          <w:kern w:val="44"/>
          <w:sz w:val="32"/>
          <w:szCs w:val="32"/>
        </w:rPr>
      </w:pPr>
      <w:bookmarkStart w:id="0" w:name="_Toc214452756"/>
      <w:r>
        <w:rPr>
          <w:rFonts w:hint="eastAsia" w:ascii="黑体" w:hAnsi="黑体" w:eastAsia="黑体" w:cs="黑体"/>
          <w:bCs/>
          <w:kern w:val="44"/>
          <w:sz w:val="32"/>
          <w:szCs w:val="32"/>
        </w:rPr>
        <w:t>一、竞赛项目与内容</w:t>
      </w:r>
      <w:bookmarkEnd w:id="0"/>
    </w:p>
    <w:p w14:paraId="0D12189A">
      <w:pPr>
        <w:keepNext/>
        <w:keepLines/>
        <w:adjustRightInd w:val="0"/>
        <w:snapToGrid w:val="0"/>
        <w:spacing w:line="360" w:lineRule="auto"/>
        <w:ind w:firstLine="640" w:firstLineChars="200"/>
        <w:outlineLvl w:val="1"/>
        <w:rPr>
          <w:rFonts w:ascii="Times New Roman" w:hAnsi="Times New Roman"/>
          <w:bCs/>
          <w:sz w:val="28"/>
          <w:szCs w:val="22"/>
        </w:rPr>
      </w:pPr>
      <w:bookmarkStart w:id="1" w:name="_Toc214452757"/>
      <w:r>
        <w:rPr>
          <w:rFonts w:hint="eastAsia" w:ascii="黑体" w:hAnsi="黑体" w:eastAsia="黑体" w:cs="黑体"/>
          <w:bCs/>
          <w:sz w:val="32"/>
          <w:szCs w:val="32"/>
        </w:rPr>
        <w:t>1、竞赛项目</w:t>
      </w:r>
      <w:bookmarkEnd w:id="1"/>
    </w:p>
    <w:p w14:paraId="0D12189B">
      <w:pPr>
        <w:adjustRightInd w:val="0"/>
        <w:snapToGrid w:val="0"/>
        <w:spacing w:line="360" w:lineRule="auto"/>
        <w:ind w:firstLine="640" w:firstLineChars="200"/>
        <w:rPr>
          <w:rFonts w:ascii="Times New Roman" w:hAnsi="Times New Roman"/>
          <w:sz w:val="28"/>
          <w:szCs w:val="36"/>
        </w:rPr>
      </w:pPr>
      <w:bookmarkStart w:id="2" w:name="_Toc214452758"/>
      <w:r>
        <w:rPr>
          <w:rFonts w:hint="eastAsia" w:ascii="仿宋_GB2312" w:hAnsi="仿宋_GB2312" w:eastAsia="仿宋_GB2312" w:cs="仿宋_GB2312"/>
          <w:sz w:val="32"/>
          <w:szCs w:val="32"/>
        </w:rPr>
        <w:t>2026年中国技协数字孪生应用技术员行业创新应用技能竞赛暨长三角职工数字孪生应用技术员行业创新应用技能竞赛</w:t>
      </w:r>
    </w:p>
    <w:p w14:paraId="0D12189C">
      <w:pPr>
        <w:keepNext/>
        <w:keepLines/>
        <w:adjustRightInd w:val="0"/>
        <w:snapToGrid w:val="0"/>
        <w:spacing w:line="360" w:lineRule="auto"/>
        <w:ind w:firstLine="640" w:firstLineChars="200"/>
        <w:outlineLvl w:val="1"/>
        <w:rPr>
          <w:rFonts w:hint="eastAsia" w:ascii="黑体" w:hAnsi="黑体" w:eastAsia="黑体" w:cs="黑体"/>
          <w:bCs/>
          <w:sz w:val="32"/>
          <w:szCs w:val="32"/>
        </w:rPr>
      </w:pPr>
      <w:r>
        <w:rPr>
          <w:rFonts w:hint="eastAsia" w:ascii="黑体" w:hAnsi="黑体" w:eastAsia="黑体" w:cs="黑体"/>
          <w:bCs/>
          <w:sz w:val="32"/>
          <w:szCs w:val="32"/>
        </w:rPr>
        <w:t>2、竞赛形式与时间</w:t>
      </w:r>
      <w:bookmarkEnd w:id="2"/>
    </w:p>
    <w:p w14:paraId="0D12189D">
      <w:pPr>
        <w:adjustRightInd w:val="0"/>
        <w:snapToGrid w:val="0"/>
        <w:spacing w:line="360" w:lineRule="auto"/>
        <w:ind w:firstLine="640" w:firstLineChars="200"/>
        <w:rPr>
          <w:rFonts w:ascii="Times New Roman" w:hAnsi="Times New Roman"/>
          <w:sz w:val="28"/>
          <w:szCs w:val="36"/>
        </w:rPr>
      </w:pPr>
      <w:r>
        <w:rPr>
          <w:rFonts w:hint="eastAsia" w:ascii="仿宋_GB2312" w:hAnsi="仿宋_GB2312" w:eastAsia="仿宋_GB2312" w:cs="仿宋_GB2312"/>
          <w:sz w:val="32"/>
          <w:szCs w:val="32"/>
        </w:rPr>
        <w:t>竞赛形式小组赛，分为理论考试和实操考核。理论考试时间为1小时、实操竞赛时间为2.5小时。</w:t>
      </w:r>
    </w:p>
    <w:p w14:paraId="0D12189E">
      <w:pPr>
        <w:keepNext/>
        <w:keepLines/>
        <w:adjustRightInd w:val="0"/>
        <w:snapToGrid w:val="0"/>
        <w:spacing w:line="360" w:lineRule="auto"/>
        <w:ind w:firstLine="640" w:firstLineChars="200"/>
        <w:outlineLvl w:val="1"/>
        <w:rPr>
          <w:rFonts w:hint="eastAsia" w:ascii="黑体" w:hAnsi="黑体" w:eastAsia="黑体" w:cs="黑体"/>
          <w:bCs/>
          <w:sz w:val="32"/>
          <w:szCs w:val="32"/>
        </w:rPr>
      </w:pPr>
      <w:bookmarkStart w:id="3" w:name="_Toc214452759"/>
      <w:r>
        <w:rPr>
          <w:rFonts w:hint="eastAsia" w:ascii="黑体" w:hAnsi="黑体" w:eastAsia="黑体" w:cs="黑体"/>
          <w:bCs/>
          <w:sz w:val="32"/>
          <w:szCs w:val="32"/>
        </w:rPr>
        <w:t>3、竞赛内容</w:t>
      </w:r>
      <w:bookmarkEnd w:id="3"/>
    </w:p>
    <w:p w14:paraId="0D12189F">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竞赛聚焦工业数字孪生技术在机器人集成应用场景中的深度融合，旨在推动智能制造系统实现虚实协同与闭环验证。参赛选手需基于指定的机器人系统集成应用创新平台及配套数字孪生工厂软件，构建与物理产线高度一致的高保真虚拟模型，精准映射机器人的运动学特性，并在此基础上完成轨迹规划与控制逻辑编程。通过建立硬件在环（Hardware-in-the-Loop, HIL）系统，实现数字孪生体对物理设备的实时驱动与状态反馈，达成“以虚控实、虚实同步”的智能生产目标。</w:t>
      </w:r>
    </w:p>
    <w:p w14:paraId="0D1218A0">
      <w:pPr>
        <w:adjustRightInd w:val="0"/>
        <w:snapToGrid w:val="0"/>
        <w:spacing w:line="360" w:lineRule="auto"/>
        <w:ind w:firstLine="640" w:firstLineChars="200"/>
        <w:rPr>
          <w:rFonts w:ascii="Times New Roman" w:hAnsi="Times New Roman"/>
          <w:sz w:val="28"/>
          <w:szCs w:val="36"/>
        </w:rPr>
      </w:pPr>
      <w:r>
        <w:rPr>
          <w:rFonts w:hint="eastAsia" w:ascii="仿宋_GB2312" w:hAnsi="仿宋_GB2312" w:eastAsia="仿宋_GB2312" w:cs="仿宋_GB2312"/>
          <w:sz w:val="32"/>
          <w:szCs w:val="32"/>
        </w:rPr>
        <w:t>具体任务涵盖在数字孪生环境中完整复现并仿真以下典型制造工艺流程：机器人对数控机床的自动上下料作业、视觉引导下的输送线物料动态分拣、基于机器视觉的工件自动识别与高精度定位、多工序协同的机器人智能装配作业，以及自动化立体仓储系统的智能出入库调度。整个开发过程需系统性地完成五大核心模块：数字孪生模型构建——建立几何、行为与控制逻辑一致的虚拟资产；数字孪生布局与产线配置——优化虚拟工厂的空间布局与工艺流程；虚拟调试与控制逻辑验证——在无实物环境下完成机器人程序与PLC逻辑的联合仿真测试；单元级功能验证与虚实同步联调——确保虚拟指令可准确驱动物理设备，并实现设备状态数据的实时回传与同步；综合工程素养体现——包括系统集成能力、工程规范意识、标准化操作习惯以及跨学科协同思维。本竞赛全面考察选手在工业数字孪生架构下，从虚拟建模、仿真验证到物理执行的一体化闭环开发能力，切实推动智能制造向高柔性、高可靠性与高效率方向演进。具体内容详见表1。</w:t>
      </w:r>
    </w:p>
    <w:p w14:paraId="0D1218A1">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表1 竞赛范围与内容</w:t>
      </w:r>
    </w:p>
    <w:tbl>
      <w:tblPr>
        <w:tblStyle w:val="11"/>
        <w:tblW w:w="9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1501"/>
        <w:gridCol w:w="5704"/>
        <w:gridCol w:w="1213"/>
      </w:tblGrid>
      <w:tr w14:paraId="0D12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45" w:type="dxa"/>
            <w:vAlign w:val="center"/>
          </w:tcPr>
          <w:p w14:paraId="0D1218A2">
            <w:pPr>
              <w:adjustRightInd w:val="0"/>
              <w:snapToGrid w:val="0"/>
              <w:spacing w:line="360" w:lineRule="auto"/>
              <w:jc w:val="center"/>
              <w:rPr>
                <w:rFonts w:hint="eastAsia" w:ascii="仿宋_GB2312" w:hAnsi="仿宋_GB2312" w:eastAsia="仿宋_GB2312" w:cs="仿宋_GB2312"/>
                <w:b/>
                <w:bCs/>
                <w:sz w:val="24"/>
                <w:szCs w:val="21"/>
              </w:rPr>
            </w:pPr>
            <w:r>
              <w:rPr>
                <w:rFonts w:hint="eastAsia" w:ascii="仿宋_GB2312" w:hAnsi="仿宋_GB2312" w:eastAsia="仿宋_GB2312" w:cs="仿宋_GB2312"/>
                <w:b/>
                <w:bCs/>
                <w:sz w:val="24"/>
                <w:szCs w:val="21"/>
              </w:rPr>
              <w:t>序号</w:t>
            </w:r>
          </w:p>
        </w:tc>
        <w:tc>
          <w:tcPr>
            <w:tcW w:w="1501" w:type="dxa"/>
            <w:vAlign w:val="center"/>
          </w:tcPr>
          <w:p w14:paraId="0D1218A3">
            <w:pPr>
              <w:adjustRightInd w:val="0"/>
              <w:snapToGrid w:val="0"/>
              <w:spacing w:line="360" w:lineRule="auto"/>
              <w:jc w:val="center"/>
              <w:rPr>
                <w:rFonts w:hint="eastAsia" w:ascii="仿宋_GB2312" w:hAnsi="仿宋_GB2312" w:eastAsia="仿宋_GB2312" w:cs="仿宋_GB2312"/>
                <w:b/>
                <w:bCs/>
                <w:sz w:val="24"/>
                <w:szCs w:val="21"/>
              </w:rPr>
            </w:pPr>
            <w:r>
              <w:rPr>
                <w:rFonts w:hint="eastAsia" w:ascii="仿宋_GB2312" w:hAnsi="仿宋_GB2312" w:eastAsia="仿宋_GB2312" w:cs="仿宋_GB2312"/>
                <w:b/>
                <w:bCs/>
                <w:sz w:val="24"/>
                <w:szCs w:val="21"/>
              </w:rPr>
              <w:t>竞赛模块</w:t>
            </w:r>
          </w:p>
        </w:tc>
        <w:tc>
          <w:tcPr>
            <w:tcW w:w="5703" w:type="dxa"/>
            <w:vAlign w:val="center"/>
          </w:tcPr>
          <w:p w14:paraId="0D1218A4">
            <w:pPr>
              <w:adjustRightInd w:val="0"/>
              <w:snapToGrid w:val="0"/>
              <w:spacing w:line="360" w:lineRule="auto"/>
              <w:jc w:val="center"/>
              <w:rPr>
                <w:rFonts w:hint="eastAsia" w:ascii="仿宋_GB2312" w:hAnsi="仿宋_GB2312" w:eastAsia="仿宋_GB2312" w:cs="仿宋_GB2312"/>
                <w:b/>
                <w:bCs/>
                <w:sz w:val="24"/>
                <w:szCs w:val="21"/>
              </w:rPr>
            </w:pPr>
            <w:r>
              <w:rPr>
                <w:rFonts w:hint="eastAsia" w:ascii="仿宋_GB2312" w:hAnsi="仿宋_GB2312" w:eastAsia="仿宋_GB2312" w:cs="仿宋_GB2312"/>
                <w:b/>
                <w:bCs/>
                <w:sz w:val="24"/>
                <w:szCs w:val="21"/>
              </w:rPr>
              <w:t>竞赛要点说明</w:t>
            </w:r>
          </w:p>
        </w:tc>
        <w:tc>
          <w:tcPr>
            <w:tcW w:w="1213" w:type="dxa"/>
            <w:vAlign w:val="center"/>
          </w:tcPr>
          <w:p w14:paraId="0D1218A5">
            <w:pPr>
              <w:adjustRightInd w:val="0"/>
              <w:snapToGrid w:val="0"/>
              <w:spacing w:line="360" w:lineRule="auto"/>
              <w:jc w:val="center"/>
              <w:rPr>
                <w:rFonts w:hint="eastAsia" w:ascii="仿宋_GB2312" w:hAnsi="仿宋_GB2312" w:eastAsia="仿宋_GB2312" w:cs="仿宋_GB2312"/>
                <w:b/>
                <w:bCs/>
                <w:sz w:val="24"/>
                <w:szCs w:val="21"/>
              </w:rPr>
            </w:pPr>
            <w:r>
              <w:rPr>
                <w:rFonts w:hint="eastAsia" w:ascii="仿宋_GB2312" w:hAnsi="仿宋_GB2312" w:eastAsia="仿宋_GB2312" w:cs="仿宋_GB2312"/>
                <w:b/>
                <w:bCs/>
                <w:sz w:val="24"/>
                <w:szCs w:val="21"/>
              </w:rPr>
              <w:t>占比分数</w:t>
            </w:r>
          </w:p>
        </w:tc>
      </w:tr>
      <w:tr w14:paraId="0D12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45" w:type="dxa"/>
            <w:vAlign w:val="center"/>
          </w:tcPr>
          <w:p w14:paraId="0D1218A7">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1</w:t>
            </w:r>
          </w:p>
        </w:tc>
        <w:tc>
          <w:tcPr>
            <w:tcW w:w="1501" w:type="dxa"/>
            <w:vAlign w:val="center"/>
          </w:tcPr>
          <w:p w14:paraId="0D1218A8">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数字孪生模型构建</w:t>
            </w:r>
          </w:p>
        </w:tc>
        <w:tc>
          <w:tcPr>
            <w:tcW w:w="5703" w:type="dxa"/>
            <w:vAlign w:val="center"/>
          </w:tcPr>
          <w:p w14:paraId="0D1218A9">
            <w:p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 xml:space="preserve">（1）将三维模型导入数字孪生软件； </w:t>
            </w:r>
          </w:p>
          <w:p w14:paraId="0D1218AA">
            <w:p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 xml:space="preserve">（2）模型具备真实的物理属性； </w:t>
            </w:r>
          </w:p>
          <w:p w14:paraId="0D1218AB">
            <w:p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（3）模型支持数据和信号驱动。</w:t>
            </w:r>
          </w:p>
        </w:tc>
        <w:tc>
          <w:tcPr>
            <w:tcW w:w="1213" w:type="dxa"/>
            <w:vAlign w:val="center"/>
          </w:tcPr>
          <w:p w14:paraId="0D1218AC">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20</w:t>
            </w:r>
          </w:p>
        </w:tc>
      </w:tr>
      <w:tr w14:paraId="0D12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45" w:type="dxa"/>
            <w:vAlign w:val="center"/>
          </w:tcPr>
          <w:p w14:paraId="0D1218AE">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2</w:t>
            </w:r>
          </w:p>
        </w:tc>
        <w:tc>
          <w:tcPr>
            <w:tcW w:w="1501" w:type="dxa"/>
            <w:vAlign w:val="center"/>
          </w:tcPr>
          <w:p w14:paraId="0D1218AF">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数字孪生搭建与布局</w:t>
            </w:r>
          </w:p>
        </w:tc>
        <w:tc>
          <w:tcPr>
            <w:tcW w:w="5703" w:type="dxa"/>
            <w:vAlign w:val="center"/>
          </w:tcPr>
          <w:p w14:paraId="0D1218B0">
            <w:pPr>
              <w:numPr>
                <w:ilvl w:val="0"/>
                <w:numId w:val="1"/>
              </w:num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正确导入产线功能单元数字孪生模型；</w:t>
            </w:r>
          </w:p>
          <w:p w14:paraId="0D1218B1">
            <w:pPr>
              <w:numPr>
                <w:ilvl w:val="0"/>
                <w:numId w:val="1"/>
              </w:num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 xml:space="preserve">产线布局符合竞赛任务书要求的工艺流程； </w:t>
            </w:r>
          </w:p>
          <w:p w14:paraId="0D1218B2">
            <w:p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（3）产线整体布局合理、美观。</w:t>
            </w:r>
          </w:p>
        </w:tc>
        <w:tc>
          <w:tcPr>
            <w:tcW w:w="1213" w:type="dxa"/>
            <w:vAlign w:val="center"/>
          </w:tcPr>
          <w:p w14:paraId="0D1218B3">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10</w:t>
            </w:r>
          </w:p>
        </w:tc>
      </w:tr>
      <w:tr w14:paraId="0D12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745" w:type="dxa"/>
            <w:vAlign w:val="center"/>
          </w:tcPr>
          <w:p w14:paraId="0D1218B5">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3</w:t>
            </w:r>
          </w:p>
        </w:tc>
        <w:tc>
          <w:tcPr>
            <w:tcW w:w="1501" w:type="dxa"/>
            <w:vAlign w:val="center"/>
          </w:tcPr>
          <w:p w14:paraId="0D1218B6">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虚拟调试</w:t>
            </w:r>
          </w:p>
        </w:tc>
        <w:tc>
          <w:tcPr>
            <w:tcW w:w="5703" w:type="dxa"/>
            <w:vAlign w:val="center"/>
          </w:tcPr>
          <w:p w14:paraId="0D1218B7">
            <w:pPr>
              <w:numPr>
                <w:ilvl w:val="0"/>
                <w:numId w:val="2"/>
              </w:num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 xml:space="preserve">正确创建PLC程序； </w:t>
            </w:r>
          </w:p>
          <w:p w14:paraId="0D1218B8">
            <w:pPr>
              <w:numPr>
                <w:ilvl w:val="0"/>
                <w:numId w:val="2"/>
              </w:num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 xml:space="preserve">根据产线任务完成PLC、机器人的程序设计； </w:t>
            </w:r>
          </w:p>
          <w:p w14:paraId="0D1218B9">
            <w:pPr>
              <w:numPr>
                <w:ilvl w:val="0"/>
                <w:numId w:val="2"/>
              </w:num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 xml:space="preserve">PLC能够驱动数字孪生产线，产线生产节拍符合竞赛任务书要求； </w:t>
            </w:r>
          </w:p>
          <w:p w14:paraId="0D1218BA">
            <w:p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（4）按照工艺流程，完成产线虚拟调试。</w:t>
            </w:r>
          </w:p>
        </w:tc>
        <w:tc>
          <w:tcPr>
            <w:tcW w:w="1213" w:type="dxa"/>
            <w:vAlign w:val="center"/>
          </w:tcPr>
          <w:p w14:paraId="0D1218BB">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40</w:t>
            </w:r>
          </w:p>
        </w:tc>
      </w:tr>
      <w:tr w14:paraId="0D12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45" w:type="dxa"/>
            <w:vAlign w:val="center"/>
          </w:tcPr>
          <w:p w14:paraId="0D1218BD">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4</w:t>
            </w:r>
          </w:p>
        </w:tc>
        <w:tc>
          <w:tcPr>
            <w:tcW w:w="1501" w:type="dxa"/>
            <w:vAlign w:val="center"/>
          </w:tcPr>
          <w:p w14:paraId="0D1218BE">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单元验证与虚实同步</w:t>
            </w:r>
          </w:p>
        </w:tc>
        <w:tc>
          <w:tcPr>
            <w:tcW w:w="5703" w:type="dxa"/>
            <w:vAlign w:val="center"/>
          </w:tcPr>
          <w:p w14:paraId="0D1218BF">
            <w:p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 xml:space="preserve">（1）正确完成产线单元调试与验证； </w:t>
            </w:r>
          </w:p>
          <w:p w14:paraId="0D1218C0">
            <w:p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 xml:space="preserve">（2）产线单元实物与数字孪生模型同步； </w:t>
            </w:r>
          </w:p>
          <w:p w14:paraId="0D1218C1">
            <w:pPr>
              <w:spacing w:line="360" w:lineRule="auto"/>
              <w:jc w:val="left"/>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（3）产线技术方案报告。</w:t>
            </w:r>
          </w:p>
        </w:tc>
        <w:tc>
          <w:tcPr>
            <w:tcW w:w="1213" w:type="dxa"/>
            <w:vAlign w:val="center"/>
          </w:tcPr>
          <w:p w14:paraId="0D1218C2">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20</w:t>
            </w:r>
          </w:p>
        </w:tc>
      </w:tr>
      <w:tr w14:paraId="0D12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45" w:type="dxa"/>
            <w:vAlign w:val="center"/>
          </w:tcPr>
          <w:p w14:paraId="0D1218C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501" w:type="dxa"/>
            <w:vAlign w:val="center"/>
          </w:tcPr>
          <w:p w14:paraId="0D1218C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综合素养</w:t>
            </w:r>
          </w:p>
        </w:tc>
        <w:tc>
          <w:tcPr>
            <w:tcW w:w="5703" w:type="dxa"/>
            <w:vAlign w:val="center"/>
          </w:tcPr>
          <w:p w14:paraId="0D1218C6">
            <w:pPr>
              <w:spacing w:line="360"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（1）正确使用工量具； </w:t>
            </w:r>
          </w:p>
          <w:p w14:paraId="0D1218C7">
            <w:pPr>
              <w:spacing w:line="360"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（2）正确使用安全防护用具； </w:t>
            </w:r>
          </w:p>
          <w:p w14:paraId="0D1218C8">
            <w:pPr>
              <w:spacing w:line="360"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（3）符合安全操作要求； </w:t>
            </w:r>
          </w:p>
          <w:p w14:paraId="0D1218C9">
            <w:pPr>
              <w:spacing w:line="360" w:lineRule="auto"/>
              <w:jc w:val="left"/>
              <w:rPr>
                <w:rFonts w:hint="eastAsia" w:ascii="仿宋_GB2312" w:hAnsi="仿宋_GB2312" w:eastAsia="仿宋_GB2312" w:cs="仿宋_GB2312"/>
                <w:sz w:val="24"/>
              </w:rPr>
            </w:pPr>
            <w:r>
              <w:rPr>
                <w:rFonts w:hint="eastAsia" w:ascii="仿宋_GB2312" w:hAnsi="仿宋_GB2312" w:eastAsia="仿宋_GB2312" w:cs="仿宋_GB2312"/>
                <w:sz w:val="24"/>
              </w:rPr>
              <w:t>（4）良好的职业素养。</w:t>
            </w:r>
          </w:p>
        </w:tc>
        <w:tc>
          <w:tcPr>
            <w:tcW w:w="1213" w:type="dxa"/>
            <w:vAlign w:val="center"/>
          </w:tcPr>
          <w:p w14:paraId="0D1218CA">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r>
      <w:tr w14:paraId="0D12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950" w:type="dxa"/>
            <w:gridSpan w:val="3"/>
            <w:vAlign w:val="center"/>
          </w:tcPr>
          <w:p w14:paraId="0D1218CC">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合计</w:t>
            </w:r>
          </w:p>
        </w:tc>
        <w:tc>
          <w:tcPr>
            <w:tcW w:w="1213" w:type="dxa"/>
            <w:vAlign w:val="center"/>
          </w:tcPr>
          <w:p w14:paraId="0D1218CD">
            <w:pPr>
              <w:spacing w:line="360" w:lineRule="auto"/>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100</w:t>
            </w:r>
          </w:p>
        </w:tc>
      </w:tr>
    </w:tbl>
    <w:p w14:paraId="0D1218CF">
      <w:pPr>
        <w:keepNext/>
        <w:keepLines/>
        <w:adjustRightInd w:val="0"/>
        <w:snapToGrid w:val="0"/>
        <w:spacing w:line="360" w:lineRule="auto"/>
        <w:ind w:firstLine="640" w:firstLineChars="200"/>
        <w:outlineLvl w:val="0"/>
        <w:rPr>
          <w:rFonts w:hint="eastAsia" w:ascii="黑体" w:hAnsi="黑体" w:eastAsia="黑体" w:cs="黑体"/>
          <w:bCs/>
          <w:kern w:val="44"/>
          <w:sz w:val="32"/>
          <w:szCs w:val="32"/>
        </w:rPr>
      </w:pPr>
      <w:bookmarkStart w:id="4" w:name="_Toc214452760"/>
      <w:r>
        <w:rPr>
          <w:rFonts w:hint="eastAsia" w:ascii="黑体" w:hAnsi="黑体" w:eastAsia="黑体" w:cs="黑体"/>
          <w:bCs/>
          <w:kern w:val="44"/>
          <w:sz w:val="32"/>
          <w:szCs w:val="32"/>
        </w:rPr>
        <w:t>二、命题与评分</w:t>
      </w:r>
      <w:bookmarkEnd w:id="4"/>
    </w:p>
    <w:p w14:paraId="0D1218D0">
      <w:pPr>
        <w:keepNext/>
        <w:keepLines/>
        <w:adjustRightInd w:val="0"/>
        <w:snapToGrid w:val="0"/>
        <w:spacing w:line="360" w:lineRule="auto"/>
        <w:ind w:firstLine="640" w:firstLineChars="200"/>
        <w:outlineLvl w:val="1"/>
        <w:rPr>
          <w:rFonts w:hint="eastAsia" w:ascii="黑体" w:hAnsi="黑体" w:eastAsia="黑体" w:cs="黑体"/>
          <w:bCs/>
          <w:sz w:val="32"/>
          <w:szCs w:val="32"/>
        </w:rPr>
      </w:pPr>
      <w:bookmarkStart w:id="5" w:name="_Toc214452761"/>
      <w:r>
        <w:rPr>
          <w:rFonts w:hint="eastAsia" w:ascii="黑体" w:hAnsi="黑体" w:eastAsia="黑体" w:cs="黑体"/>
          <w:bCs/>
          <w:sz w:val="32"/>
          <w:szCs w:val="32"/>
        </w:rPr>
        <w:t>1、命题</w:t>
      </w:r>
      <w:bookmarkEnd w:id="5"/>
    </w:p>
    <w:p w14:paraId="0D1218D1">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赛试题及样题由组委会严格依据技术文件及技能竞赛相关规范，组织行业权威专家进行命题。为确保竞赛公平性和科学性，组委会将在赛前规定时间内发布一份具有指导意义的实操样题，该样题内容覆盖正式赛题70%的核心知识点和技能要点。理论考试部分以《数字孪生应用技术员S》国家职业技能标准等级要求为基准，并紧密结合行业发展需求，重点融入工业机器人系统集成、数字孪生等前沿技术内容，全面考察参赛选手的理论知识水平和专业技术能力。</w:t>
      </w:r>
    </w:p>
    <w:p w14:paraId="0D1218D2">
      <w:pPr>
        <w:keepNext/>
        <w:keepLines/>
        <w:adjustRightInd w:val="0"/>
        <w:snapToGrid w:val="0"/>
        <w:spacing w:line="360" w:lineRule="auto"/>
        <w:ind w:firstLine="640" w:firstLineChars="200"/>
        <w:outlineLvl w:val="1"/>
        <w:rPr>
          <w:rFonts w:hint="eastAsia" w:ascii="黑体" w:hAnsi="黑体" w:eastAsia="黑体" w:cs="黑体"/>
          <w:bCs/>
          <w:sz w:val="32"/>
          <w:szCs w:val="32"/>
        </w:rPr>
      </w:pPr>
      <w:bookmarkStart w:id="6" w:name="_Toc214452762"/>
      <w:r>
        <w:rPr>
          <w:rFonts w:hint="eastAsia" w:ascii="黑体" w:hAnsi="黑体" w:eastAsia="黑体" w:cs="黑体"/>
          <w:bCs/>
          <w:sz w:val="32"/>
          <w:szCs w:val="32"/>
        </w:rPr>
        <w:t>2、评分</w:t>
      </w:r>
      <w:bookmarkEnd w:id="6"/>
    </w:p>
    <w:p w14:paraId="0D1218D3">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参赛选手的成绩评定由竞赛技术工作委员会的裁判组负责， 裁判组在坚持“公平、公正、公开、科学、规范”的原则下，各负其责，按照评分细则评分，成绩按照选手工位号排列。实操试题的评分表由命题专家组制定，最终评分细则由全体裁判讨论确定，全部测评项目均为客观评分。评分小组至少由2人组成。</w:t>
      </w:r>
    </w:p>
    <w:p w14:paraId="0D1218D4">
      <w:pPr>
        <w:keepNext/>
        <w:keepLines/>
        <w:adjustRightInd w:val="0"/>
        <w:snapToGrid w:val="0"/>
        <w:spacing w:line="360" w:lineRule="auto"/>
        <w:ind w:firstLine="640" w:firstLineChars="200"/>
        <w:outlineLvl w:val="0"/>
        <w:rPr>
          <w:rFonts w:hint="eastAsia" w:ascii="黑体" w:hAnsi="黑体" w:eastAsia="黑体" w:cs="黑体"/>
          <w:bCs/>
          <w:kern w:val="44"/>
          <w:sz w:val="32"/>
          <w:szCs w:val="32"/>
        </w:rPr>
      </w:pPr>
      <w:bookmarkStart w:id="7" w:name="_Toc214452763"/>
      <w:r>
        <w:rPr>
          <w:rFonts w:hint="eastAsia" w:ascii="黑体" w:hAnsi="黑体" w:eastAsia="黑体" w:cs="黑体"/>
          <w:bCs/>
          <w:kern w:val="44"/>
          <w:sz w:val="32"/>
          <w:szCs w:val="32"/>
        </w:rPr>
        <w:t>三、竞赛设备与设施</w:t>
      </w:r>
      <w:bookmarkEnd w:id="7"/>
    </w:p>
    <w:p w14:paraId="0D1218D5">
      <w:pPr>
        <w:keepNext/>
        <w:keepLines/>
        <w:adjustRightInd w:val="0"/>
        <w:snapToGrid w:val="0"/>
        <w:spacing w:line="360" w:lineRule="auto"/>
        <w:ind w:firstLine="640" w:firstLineChars="200"/>
        <w:outlineLvl w:val="1"/>
        <w:rPr>
          <w:rFonts w:hint="eastAsia" w:ascii="黑体" w:hAnsi="黑体" w:eastAsia="黑体" w:cs="黑体"/>
          <w:bCs/>
          <w:sz w:val="32"/>
          <w:szCs w:val="32"/>
        </w:rPr>
      </w:pPr>
      <w:bookmarkStart w:id="8" w:name="_Toc214452764"/>
      <w:r>
        <w:rPr>
          <w:rFonts w:hint="eastAsia" w:ascii="黑体" w:hAnsi="黑体" w:eastAsia="黑体" w:cs="黑体"/>
          <w:bCs/>
          <w:sz w:val="32"/>
          <w:szCs w:val="32"/>
        </w:rPr>
        <w:t>1、赛场提供的设备</w:t>
      </w:r>
      <w:bookmarkEnd w:id="8"/>
    </w:p>
    <w:p w14:paraId="0D1218D6">
      <w:pPr>
        <w:spacing w:line="360" w:lineRule="auto"/>
        <w:ind w:firstLine="640" w:firstLineChars="200"/>
        <w:rPr>
          <w:rFonts w:ascii="Times New Roman" w:hAnsi="Times New Roman"/>
          <w:sz w:val="28"/>
          <w:szCs w:val="36"/>
        </w:rPr>
      </w:pPr>
      <w:r>
        <w:rPr>
          <w:rFonts w:hint="eastAsia" w:ascii="仿宋_GB2312" w:hAnsi="仿宋_GB2312" w:eastAsia="仿宋_GB2312" w:cs="仿宋_GB2312"/>
          <w:sz w:val="32"/>
          <w:szCs w:val="32"/>
        </w:rPr>
        <w:t>比赛所需硬件平台为机器人系统集成应用创新平台，软件平台为数字孪生工厂软件（Digital Twin Factory），由承办单位免费提供。</w:t>
      </w:r>
      <w:r>
        <w:rPr>
          <w:rFonts w:hint="eastAsia" w:ascii="Times New Roman" w:hAnsi="Times New Roman"/>
          <w:sz w:val="28"/>
          <w:szCs w:val="36"/>
        </w:rPr>
        <w:t xml:space="preserve"> </w:t>
      </w:r>
    </w:p>
    <w:p w14:paraId="0D1218D7">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器人系统集成应用创新平台主要由工业机器人、PLC、HMI、工业相机等组成，具备PLC编程、人机交互界面设计、工业机器人操作、工业机器人编程配置、工业视觉检测、工业通讯应用、离线编程等功能，具体如图1所示。</w:t>
      </w:r>
    </w:p>
    <w:p w14:paraId="0D1218D8">
      <w:pPr>
        <w:spacing w:line="360" w:lineRule="auto"/>
        <w:jc w:val="center"/>
        <w:rPr>
          <w:rFonts w:ascii="Times New Roman" w:hAnsi="Times New Roman"/>
        </w:rPr>
      </w:pPr>
      <w:r>
        <w:rPr>
          <w:rFonts w:ascii="Times New Roman" w:hAnsi="Times New Roman"/>
        </w:rPr>
        <w:drawing>
          <wp:inline distT="0" distB="0" distL="114300" distR="114300">
            <wp:extent cx="2705100" cy="3090545"/>
            <wp:effectExtent l="0" t="0" r="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709728" cy="3096324"/>
                    </a:xfrm>
                    <a:prstGeom prst="rect">
                      <a:avLst/>
                    </a:prstGeom>
                    <a:noFill/>
                    <a:ln>
                      <a:noFill/>
                    </a:ln>
                  </pic:spPr>
                </pic:pic>
              </a:graphicData>
            </a:graphic>
          </wp:inline>
        </w:drawing>
      </w:r>
    </w:p>
    <w:p w14:paraId="0D1218D9">
      <w:pPr>
        <w:spacing w:line="360" w:lineRule="auto"/>
        <w:jc w:val="center"/>
        <w:rPr>
          <w:rFonts w:ascii="Times New Roman" w:hAnsi="Times New Roman"/>
          <w:sz w:val="22"/>
          <w:szCs w:val="28"/>
        </w:rPr>
      </w:pPr>
      <w:r>
        <w:rPr>
          <w:rFonts w:hint="eastAsia" w:ascii="Times New Roman" w:hAnsi="Times New Roman"/>
          <w:sz w:val="22"/>
          <w:szCs w:val="28"/>
        </w:rPr>
        <w:t>图1 机器人系统集成应用创新平台</w:t>
      </w:r>
    </w:p>
    <w:p w14:paraId="0D1218DA">
      <w:pPr>
        <w:spacing w:line="360" w:lineRule="auto"/>
        <w:ind w:firstLine="640" w:firstLineChars="200"/>
        <w:rPr>
          <w:rFonts w:ascii="Times New Roman" w:hAnsi="Times New Roman"/>
          <w:sz w:val="28"/>
          <w:szCs w:val="36"/>
        </w:rPr>
      </w:pPr>
      <w:r>
        <w:rPr>
          <w:rFonts w:hint="eastAsia" w:ascii="仿宋_GB2312" w:hAnsi="仿宋_GB2312" w:eastAsia="仿宋_GB2312" w:cs="仿宋_GB2312"/>
          <w:sz w:val="32"/>
          <w:szCs w:val="32"/>
        </w:rPr>
        <w:t>数字孪生工厂软件（Digital Twin Factory）是一款国际领先的智能制造仿真软件。该软件能够对工业机器人、机械及自动化设备、PLC、电气及周边设备进行三维虚拟仿真和数字孪生。它为用户提供全流程的数字化工厂解决方案，包括工程规划、工程验证、工艺分析和逻辑验证，帮助企业在研发前期进行产能确认，提升行业竞争力。具体如图2所示。</w:t>
      </w:r>
    </w:p>
    <w:p w14:paraId="0D1218DB">
      <w:pPr>
        <w:spacing w:line="360" w:lineRule="auto"/>
        <w:jc w:val="center"/>
        <w:rPr>
          <w:rFonts w:ascii="Times New Roman" w:hAnsi="Times New Roman"/>
          <w:sz w:val="28"/>
          <w:szCs w:val="36"/>
        </w:rPr>
      </w:pPr>
      <w:r>
        <w:rPr>
          <w:rFonts w:hint="eastAsia" w:ascii="Times New Roman" w:hAnsi="Times New Roman"/>
          <w:sz w:val="28"/>
          <w:szCs w:val="36"/>
        </w:rPr>
        <w:drawing>
          <wp:inline distT="0" distB="0" distL="114300" distR="114300">
            <wp:extent cx="4801870" cy="2889250"/>
            <wp:effectExtent l="0" t="0" r="17780" b="6350"/>
            <wp:docPr id="2" name="图片 2" descr="8ee99244621368b3d9e294a7c30c02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ee99244621368b3d9e294a7c30c024e"/>
                    <pic:cNvPicPr>
                      <a:picLocks noChangeAspect="1"/>
                    </pic:cNvPicPr>
                  </pic:nvPicPr>
                  <pic:blipFill>
                    <a:blip r:embed="rId6"/>
                    <a:stretch>
                      <a:fillRect/>
                    </a:stretch>
                  </pic:blipFill>
                  <pic:spPr>
                    <a:xfrm>
                      <a:off x="0" y="0"/>
                      <a:ext cx="4816673" cy="2897902"/>
                    </a:xfrm>
                    <a:prstGeom prst="rect">
                      <a:avLst/>
                    </a:prstGeom>
                  </pic:spPr>
                </pic:pic>
              </a:graphicData>
            </a:graphic>
          </wp:inline>
        </w:drawing>
      </w:r>
    </w:p>
    <w:p w14:paraId="0D1218DC">
      <w:pPr>
        <w:spacing w:line="360" w:lineRule="auto"/>
        <w:jc w:val="center"/>
        <w:rPr>
          <w:rFonts w:ascii="Times New Roman" w:hAnsi="Times New Roman"/>
          <w:sz w:val="22"/>
          <w:szCs w:val="28"/>
        </w:rPr>
      </w:pPr>
      <w:r>
        <w:rPr>
          <w:rFonts w:hint="eastAsia" w:ascii="Times New Roman" w:hAnsi="Times New Roman"/>
          <w:sz w:val="22"/>
          <w:szCs w:val="28"/>
        </w:rPr>
        <w:t>图2 数字孪生工厂软件</w:t>
      </w:r>
    </w:p>
    <w:p w14:paraId="0D1218DD">
      <w:pPr>
        <w:keepNext/>
        <w:keepLines/>
        <w:spacing w:line="360" w:lineRule="auto"/>
        <w:ind w:firstLine="640" w:firstLineChars="200"/>
        <w:outlineLvl w:val="2"/>
        <w:rPr>
          <w:rFonts w:ascii="Times New Roman" w:hAnsi="Times New Roman"/>
          <w:b/>
          <w:sz w:val="28"/>
          <w:szCs w:val="22"/>
        </w:rPr>
      </w:pPr>
      <w:bookmarkStart w:id="9" w:name="_Toc214452765"/>
      <w:r>
        <w:rPr>
          <w:rFonts w:hint="eastAsia" w:ascii="黑体" w:hAnsi="黑体" w:eastAsia="黑体" w:cs="黑体"/>
          <w:bCs/>
          <w:sz w:val="32"/>
          <w:szCs w:val="32"/>
        </w:rPr>
        <w:t>1）操作平台</w:t>
      </w:r>
      <w:bookmarkEnd w:id="9"/>
      <w:r>
        <w:rPr>
          <w:rFonts w:ascii="Times New Roman" w:hAnsi="Times New Roman"/>
          <w:b/>
          <w:sz w:val="28"/>
          <w:szCs w:val="22"/>
        </w:rPr>
        <w:t xml:space="preserve"> </w:t>
      </w:r>
    </w:p>
    <w:p w14:paraId="0D1218DE">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操作平台整体由优质铝型材组装，台面铺设铝型材，模块可在台面自由安装；平台台架前侧门板采用透明化设计，可直接观测控制系统元器件运行情况；台体尺寸 (长×宽×高) ≥ 1160×920×780mm。具体如图3所示</w:t>
      </w:r>
    </w:p>
    <w:p w14:paraId="0D1218DF">
      <w:pPr>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2924175" cy="2472055"/>
            <wp:effectExtent l="0" t="0" r="9525" b="44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2931980" cy="2479060"/>
                    </a:xfrm>
                    <a:prstGeom prst="rect">
                      <a:avLst/>
                    </a:prstGeom>
                    <a:noFill/>
                    <a:ln>
                      <a:noFill/>
                    </a:ln>
                  </pic:spPr>
                </pic:pic>
              </a:graphicData>
            </a:graphic>
          </wp:inline>
        </w:drawing>
      </w:r>
    </w:p>
    <w:p w14:paraId="0D1218E0">
      <w:pPr>
        <w:spacing w:line="360" w:lineRule="auto"/>
        <w:jc w:val="center"/>
        <w:rPr>
          <w:rFonts w:ascii="Times New Roman" w:hAnsi="Times New Roman"/>
          <w:sz w:val="22"/>
          <w:szCs w:val="28"/>
        </w:rPr>
      </w:pPr>
      <w:r>
        <w:rPr>
          <w:rFonts w:hint="eastAsia" w:ascii="Times New Roman" w:hAnsi="Times New Roman"/>
          <w:sz w:val="22"/>
          <w:szCs w:val="28"/>
        </w:rPr>
        <w:t>图3 平台台架示意图</w:t>
      </w:r>
    </w:p>
    <w:p w14:paraId="0D1218E1">
      <w:pPr>
        <w:keepNext/>
        <w:keepLines/>
        <w:spacing w:line="360" w:lineRule="auto"/>
        <w:ind w:firstLine="640" w:firstLineChars="200"/>
        <w:outlineLvl w:val="2"/>
        <w:rPr>
          <w:rFonts w:hint="eastAsia" w:ascii="黑体" w:hAnsi="黑体" w:eastAsia="黑体" w:cs="黑体"/>
          <w:bCs/>
          <w:sz w:val="32"/>
          <w:szCs w:val="32"/>
        </w:rPr>
      </w:pPr>
      <w:bookmarkStart w:id="10" w:name="_Toc214452766"/>
      <w:r>
        <w:rPr>
          <w:rFonts w:hint="eastAsia" w:ascii="黑体" w:hAnsi="黑体" w:eastAsia="黑体" w:cs="黑体"/>
          <w:bCs/>
          <w:sz w:val="32"/>
          <w:szCs w:val="32"/>
        </w:rPr>
        <w:t>2）工业机器人模块</w:t>
      </w:r>
      <w:bookmarkEnd w:id="10"/>
      <w:r>
        <w:rPr>
          <w:rFonts w:hint="eastAsia" w:ascii="黑体" w:hAnsi="黑体" w:eastAsia="黑体" w:cs="黑体"/>
          <w:bCs/>
          <w:sz w:val="32"/>
          <w:szCs w:val="32"/>
        </w:rPr>
        <w:t xml:space="preserve"> </w:t>
      </w:r>
    </w:p>
    <w:p w14:paraId="0D1218E2">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工业机器人模块由工业机器人本体、机器人控制器、机器人示教器、机器人线缆、机器人安装底板、机器人末端执行器等组成，具体如图4所示。</w:t>
      </w:r>
    </w:p>
    <w:p w14:paraId="0D1218E3">
      <w:pPr>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2001520" cy="2200275"/>
            <wp:effectExtent l="0" t="0" r="17780" b="95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2010349" cy="2209362"/>
                    </a:xfrm>
                    <a:prstGeom prst="rect">
                      <a:avLst/>
                    </a:prstGeom>
                    <a:noFill/>
                    <a:ln>
                      <a:noFill/>
                    </a:ln>
                  </pic:spPr>
                </pic:pic>
              </a:graphicData>
            </a:graphic>
          </wp:inline>
        </w:drawing>
      </w:r>
    </w:p>
    <w:p w14:paraId="0D1218E4">
      <w:pPr>
        <w:spacing w:line="360" w:lineRule="auto"/>
        <w:jc w:val="center"/>
        <w:rPr>
          <w:rFonts w:ascii="Times New Roman" w:hAnsi="Times New Roman"/>
          <w:sz w:val="22"/>
          <w:szCs w:val="28"/>
        </w:rPr>
      </w:pPr>
      <w:r>
        <w:rPr>
          <w:rFonts w:hint="eastAsia" w:ascii="Times New Roman" w:hAnsi="Times New Roman"/>
          <w:sz w:val="22"/>
          <w:szCs w:val="28"/>
        </w:rPr>
        <w:t>图4 工业机器人模块示意图</w:t>
      </w:r>
    </w:p>
    <w:p w14:paraId="0D1218E5">
      <w:pPr>
        <w:keepNext/>
        <w:keepLines/>
        <w:spacing w:line="360" w:lineRule="auto"/>
        <w:ind w:firstLine="640" w:firstLineChars="200"/>
        <w:outlineLvl w:val="2"/>
        <w:rPr>
          <w:rFonts w:hint="eastAsia" w:ascii="黑体" w:hAnsi="黑体" w:eastAsia="黑体" w:cs="黑体"/>
          <w:bCs/>
          <w:sz w:val="32"/>
          <w:szCs w:val="32"/>
        </w:rPr>
      </w:pPr>
      <w:bookmarkStart w:id="11" w:name="_Toc214452767"/>
      <w:r>
        <w:rPr>
          <w:rFonts w:hint="eastAsia" w:ascii="黑体" w:hAnsi="黑体" w:eastAsia="黑体" w:cs="黑体"/>
          <w:bCs/>
          <w:sz w:val="32"/>
          <w:szCs w:val="32"/>
        </w:rPr>
        <w:t>3）输送分拣模块</w:t>
      </w:r>
      <w:bookmarkEnd w:id="11"/>
      <w:r>
        <w:rPr>
          <w:rFonts w:hint="eastAsia" w:ascii="黑体" w:hAnsi="黑体" w:eastAsia="黑体" w:cs="黑体"/>
          <w:bCs/>
          <w:sz w:val="32"/>
          <w:szCs w:val="32"/>
        </w:rPr>
        <w:t xml:space="preserve"> </w:t>
      </w:r>
    </w:p>
    <w:p w14:paraId="0D1218E6">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输送分拣模块由皮带线、推料气缸组件、分拣仓库、分拣 导向、分拣挡边、接近开关组件、光纤组件、物料等组成，可模拟物料材质和颜色的分拣入仓作业功能，具体如图5所示。</w:t>
      </w:r>
    </w:p>
    <w:p w14:paraId="0D1218E7">
      <w:pPr>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3009900" cy="207645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3015084" cy="2079975"/>
                    </a:xfrm>
                    <a:prstGeom prst="rect">
                      <a:avLst/>
                    </a:prstGeom>
                    <a:noFill/>
                    <a:ln>
                      <a:noFill/>
                    </a:ln>
                  </pic:spPr>
                </pic:pic>
              </a:graphicData>
            </a:graphic>
          </wp:inline>
        </w:drawing>
      </w:r>
    </w:p>
    <w:p w14:paraId="0D1218E8">
      <w:pPr>
        <w:spacing w:line="360" w:lineRule="auto"/>
        <w:jc w:val="center"/>
        <w:rPr>
          <w:rFonts w:ascii="Times New Roman" w:hAnsi="Times New Roman"/>
          <w:sz w:val="22"/>
          <w:szCs w:val="28"/>
        </w:rPr>
      </w:pPr>
      <w:r>
        <w:rPr>
          <w:rFonts w:hint="eastAsia" w:ascii="Times New Roman" w:hAnsi="Times New Roman"/>
          <w:sz w:val="22"/>
          <w:szCs w:val="28"/>
        </w:rPr>
        <w:t>图5 输送分拣模块示意图</w:t>
      </w:r>
    </w:p>
    <w:p w14:paraId="0D1218E9">
      <w:pPr>
        <w:keepNext/>
        <w:keepLines/>
        <w:spacing w:line="360" w:lineRule="auto"/>
        <w:ind w:firstLine="640" w:firstLineChars="200"/>
        <w:outlineLvl w:val="2"/>
        <w:rPr>
          <w:rFonts w:ascii="Times New Roman" w:hAnsi="Times New Roman"/>
          <w:b/>
          <w:sz w:val="28"/>
          <w:szCs w:val="22"/>
        </w:rPr>
      </w:pPr>
      <w:bookmarkStart w:id="12" w:name="_Toc214452768"/>
      <w:r>
        <w:rPr>
          <w:rFonts w:hint="eastAsia" w:ascii="黑体" w:hAnsi="黑体" w:eastAsia="黑体" w:cs="黑体"/>
          <w:bCs/>
          <w:sz w:val="32"/>
          <w:szCs w:val="32"/>
        </w:rPr>
        <w:t>4）仓储模块</w:t>
      </w:r>
      <w:bookmarkEnd w:id="12"/>
      <w:r>
        <w:rPr>
          <w:rFonts w:ascii="Times New Roman" w:hAnsi="Times New Roman"/>
          <w:b/>
          <w:sz w:val="28"/>
          <w:szCs w:val="22"/>
        </w:rPr>
        <w:t xml:space="preserve"> </w:t>
      </w:r>
    </w:p>
    <w:p w14:paraId="0D1218EA">
      <w:pPr>
        <w:spacing w:line="360" w:lineRule="auto"/>
        <w:ind w:firstLine="640" w:firstLineChars="200"/>
        <w:rPr>
          <w:rFonts w:ascii="Times New Roman" w:hAnsi="Times New Roman" w:cs="宋体"/>
          <w:sz w:val="28"/>
          <w:szCs w:val="28"/>
        </w:rPr>
      </w:pPr>
      <w:r>
        <w:rPr>
          <w:rFonts w:hint="eastAsia" w:ascii="仿宋_GB2312" w:hAnsi="仿宋_GB2312" w:eastAsia="仿宋_GB2312" w:cs="仿宋_GB2312"/>
          <w:sz w:val="32"/>
          <w:szCs w:val="32"/>
        </w:rPr>
        <w:t>仓储模块由仓储模块支架、仓位、微动开关支架、微 动开关、物料等组成，其中物料有两种材质和两种颜色，微动开关安装在微动开关支架上，然后安装在四个仓位下，可检测仓位有无物料，该模块可模拟机器人智能物料入仓作业功能，具体如图6所示。</w:t>
      </w:r>
    </w:p>
    <w:p w14:paraId="0D1218EB">
      <w:pPr>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2038350" cy="2300605"/>
            <wp:effectExtent l="0" t="0" r="0" b="444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2047125" cy="2310587"/>
                    </a:xfrm>
                    <a:prstGeom prst="rect">
                      <a:avLst/>
                    </a:prstGeom>
                    <a:noFill/>
                    <a:ln>
                      <a:noFill/>
                    </a:ln>
                  </pic:spPr>
                </pic:pic>
              </a:graphicData>
            </a:graphic>
          </wp:inline>
        </w:drawing>
      </w:r>
    </w:p>
    <w:p w14:paraId="0D1218EC">
      <w:pPr>
        <w:spacing w:line="360" w:lineRule="auto"/>
        <w:jc w:val="center"/>
        <w:rPr>
          <w:rFonts w:ascii="Times New Roman" w:hAnsi="Times New Roman"/>
          <w:sz w:val="22"/>
          <w:szCs w:val="28"/>
        </w:rPr>
      </w:pPr>
      <w:r>
        <w:rPr>
          <w:rFonts w:hint="eastAsia" w:ascii="Times New Roman" w:hAnsi="Times New Roman"/>
          <w:sz w:val="22"/>
          <w:szCs w:val="28"/>
        </w:rPr>
        <w:t>图6 仓储模块示意图</w:t>
      </w:r>
    </w:p>
    <w:p w14:paraId="0D1218ED">
      <w:pPr>
        <w:keepNext/>
        <w:keepLines/>
        <w:spacing w:line="360" w:lineRule="auto"/>
        <w:ind w:firstLine="640" w:firstLineChars="200"/>
        <w:outlineLvl w:val="2"/>
        <w:rPr>
          <w:rFonts w:hint="eastAsia" w:ascii="黑体" w:hAnsi="黑体" w:eastAsia="黑体" w:cs="黑体"/>
          <w:bCs/>
          <w:sz w:val="32"/>
          <w:szCs w:val="32"/>
        </w:rPr>
      </w:pPr>
      <w:bookmarkStart w:id="13" w:name="_Toc214452769"/>
      <w:r>
        <w:rPr>
          <w:rFonts w:hint="eastAsia" w:ascii="黑体" w:hAnsi="黑体" w:eastAsia="黑体" w:cs="黑体"/>
          <w:bCs/>
          <w:sz w:val="32"/>
          <w:szCs w:val="32"/>
        </w:rPr>
        <w:t>5）模拟机床模块</w:t>
      </w:r>
      <w:bookmarkEnd w:id="13"/>
      <w:r>
        <w:rPr>
          <w:rFonts w:hint="eastAsia" w:ascii="黑体" w:hAnsi="黑体" w:eastAsia="黑体" w:cs="黑体"/>
          <w:bCs/>
          <w:sz w:val="32"/>
          <w:szCs w:val="32"/>
        </w:rPr>
        <w:t xml:space="preserve"> </w:t>
      </w:r>
    </w:p>
    <w:p w14:paraId="0D1218EE">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模拟机床模块包含模块基础底板、模拟卡盘机构、模拟开关门机构、物料中转台、物料存料位、电路多芯快换、提手等 部件组成；通过该模拟的实训练习可使学生充分了解工业机器人在机床上下料环节的功能，具体如图7所示。</w:t>
      </w:r>
    </w:p>
    <w:p w14:paraId="0D1218EF">
      <w:pPr>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2559050" cy="1539240"/>
            <wp:effectExtent l="0" t="0" r="12700" b="38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2564781" cy="1543026"/>
                    </a:xfrm>
                    <a:prstGeom prst="rect">
                      <a:avLst/>
                    </a:prstGeom>
                    <a:noFill/>
                    <a:ln>
                      <a:noFill/>
                    </a:ln>
                  </pic:spPr>
                </pic:pic>
              </a:graphicData>
            </a:graphic>
          </wp:inline>
        </w:drawing>
      </w:r>
    </w:p>
    <w:p w14:paraId="0D1218F0">
      <w:pPr>
        <w:spacing w:line="360" w:lineRule="auto"/>
        <w:jc w:val="center"/>
        <w:rPr>
          <w:rFonts w:ascii="Times New Roman" w:hAnsi="Times New Roman"/>
          <w:sz w:val="22"/>
          <w:szCs w:val="28"/>
        </w:rPr>
      </w:pPr>
      <w:r>
        <w:rPr>
          <w:rFonts w:hint="eastAsia" w:ascii="Times New Roman" w:hAnsi="Times New Roman"/>
          <w:sz w:val="22"/>
          <w:szCs w:val="28"/>
        </w:rPr>
        <w:t>图7 模拟机床模块示意图</w:t>
      </w:r>
    </w:p>
    <w:p w14:paraId="0D1218F1">
      <w:pPr>
        <w:keepNext/>
        <w:keepLines/>
        <w:spacing w:line="360" w:lineRule="auto"/>
        <w:ind w:firstLine="640" w:firstLineChars="200"/>
        <w:outlineLvl w:val="2"/>
        <w:rPr>
          <w:rFonts w:hint="eastAsia" w:ascii="黑体" w:hAnsi="黑体" w:eastAsia="黑体" w:cs="黑体"/>
          <w:bCs/>
          <w:sz w:val="32"/>
          <w:szCs w:val="32"/>
        </w:rPr>
      </w:pPr>
      <w:bookmarkStart w:id="14" w:name="_Toc214452770"/>
      <w:r>
        <w:rPr>
          <w:rFonts w:hint="eastAsia" w:ascii="黑体" w:hAnsi="黑体" w:eastAsia="黑体" w:cs="黑体"/>
          <w:bCs/>
          <w:sz w:val="32"/>
          <w:szCs w:val="32"/>
        </w:rPr>
        <w:t>6）三维轨迹模块</w:t>
      </w:r>
      <w:bookmarkEnd w:id="14"/>
      <w:r>
        <w:rPr>
          <w:rFonts w:hint="eastAsia" w:ascii="黑体" w:hAnsi="黑体" w:eastAsia="黑体" w:cs="黑体"/>
          <w:bCs/>
          <w:sz w:val="32"/>
          <w:szCs w:val="32"/>
        </w:rPr>
        <w:t xml:space="preserve"> </w:t>
      </w:r>
    </w:p>
    <w:p w14:paraId="0D1218F2">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三维轨迹模块包含模块基础底板、轨迹状态指示灯，三维 轨迹、机器人走轨迹工具等部件组成；通过该模块的实训练习可使学生充分了解工业机器人示教编程和运动轨迹规划等功能，具体如图8所示。</w:t>
      </w:r>
    </w:p>
    <w:p w14:paraId="0D1218F3">
      <w:pPr>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3465830" cy="1522095"/>
            <wp:effectExtent l="0" t="0" r="1270" b="190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3465830" cy="1522095"/>
                    </a:xfrm>
                    <a:prstGeom prst="rect">
                      <a:avLst/>
                    </a:prstGeom>
                    <a:noFill/>
                    <a:ln>
                      <a:noFill/>
                    </a:ln>
                  </pic:spPr>
                </pic:pic>
              </a:graphicData>
            </a:graphic>
          </wp:inline>
        </w:drawing>
      </w:r>
    </w:p>
    <w:p w14:paraId="0D1218F4">
      <w:pPr>
        <w:spacing w:line="360" w:lineRule="auto"/>
        <w:jc w:val="center"/>
        <w:rPr>
          <w:rFonts w:ascii="Times New Roman" w:hAnsi="Times New Roman"/>
          <w:sz w:val="22"/>
          <w:szCs w:val="28"/>
        </w:rPr>
      </w:pPr>
      <w:r>
        <w:rPr>
          <w:rFonts w:hint="eastAsia" w:ascii="Times New Roman" w:hAnsi="Times New Roman"/>
          <w:sz w:val="22"/>
          <w:szCs w:val="28"/>
        </w:rPr>
        <w:t>图8 三维轨迹模块示意图</w:t>
      </w:r>
    </w:p>
    <w:p w14:paraId="0D1218F5">
      <w:pPr>
        <w:keepNext/>
        <w:keepLines/>
        <w:spacing w:line="360" w:lineRule="auto"/>
        <w:ind w:firstLine="640" w:firstLineChars="200"/>
        <w:outlineLvl w:val="2"/>
        <w:rPr>
          <w:rFonts w:ascii="Times New Roman" w:hAnsi="Times New Roman"/>
          <w:b/>
          <w:sz w:val="28"/>
          <w:szCs w:val="22"/>
        </w:rPr>
      </w:pPr>
      <w:bookmarkStart w:id="15" w:name="_Toc214452771"/>
      <w:r>
        <w:rPr>
          <w:rFonts w:hint="eastAsia" w:ascii="黑体" w:hAnsi="黑体" w:eastAsia="黑体" w:cs="黑体"/>
          <w:bCs/>
          <w:sz w:val="32"/>
          <w:szCs w:val="32"/>
        </w:rPr>
        <w:t>7）人机交互模块</w:t>
      </w:r>
      <w:bookmarkEnd w:id="15"/>
      <w:r>
        <w:rPr>
          <w:rFonts w:ascii="Times New Roman" w:hAnsi="Times New Roman"/>
          <w:b/>
          <w:sz w:val="28"/>
          <w:szCs w:val="22"/>
        </w:rPr>
        <w:t xml:space="preserve"> </w:t>
      </w:r>
    </w:p>
    <w:p w14:paraId="0D1218F6">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人机交互模块由模块安装盒、触摸屏、启动、停止、复位、 急停按钮等，可与PLC通信，具体如图9所示。</w:t>
      </w:r>
    </w:p>
    <w:p w14:paraId="0D1218F7">
      <w:pPr>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1729740" cy="1821180"/>
            <wp:effectExtent l="0" t="0" r="3810" b="762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1739399" cy="1831474"/>
                    </a:xfrm>
                    <a:prstGeom prst="rect">
                      <a:avLst/>
                    </a:prstGeom>
                    <a:noFill/>
                    <a:ln>
                      <a:noFill/>
                    </a:ln>
                  </pic:spPr>
                </pic:pic>
              </a:graphicData>
            </a:graphic>
          </wp:inline>
        </w:drawing>
      </w:r>
    </w:p>
    <w:p w14:paraId="0D1218F8">
      <w:pPr>
        <w:spacing w:line="360" w:lineRule="auto"/>
        <w:jc w:val="center"/>
        <w:rPr>
          <w:rFonts w:ascii="Times New Roman" w:hAnsi="Times New Roman"/>
          <w:sz w:val="22"/>
          <w:szCs w:val="28"/>
        </w:rPr>
      </w:pPr>
      <w:r>
        <w:rPr>
          <w:rFonts w:hint="eastAsia" w:ascii="Times New Roman" w:hAnsi="Times New Roman"/>
          <w:sz w:val="22"/>
          <w:szCs w:val="28"/>
        </w:rPr>
        <w:t>图9 人机交互模块示意图</w:t>
      </w:r>
    </w:p>
    <w:p w14:paraId="0D1218F9">
      <w:pPr>
        <w:keepNext/>
        <w:keepLines/>
        <w:spacing w:line="360" w:lineRule="auto"/>
        <w:ind w:firstLine="640" w:firstLineChars="200"/>
        <w:outlineLvl w:val="2"/>
        <w:rPr>
          <w:rFonts w:hint="eastAsia" w:ascii="黑体" w:hAnsi="黑体" w:eastAsia="黑体" w:cs="黑体"/>
          <w:bCs/>
          <w:sz w:val="32"/>
          <w:szCs w:val="32"/>
        </w:rPr>
      </w:pPr>
      <w:bookmarkStart w:id="16" w:name="_Toc214452772"/>
      <w:r>
        <w:rPr>
          <w:rFonts w:hint="eastAsia" w:ascii="黑体" w:hAnsi="黑体" w:eastAsia="黑体" w:cs="黑体"/>
          <w:bCs/>
          <w:sz w:val="32"/>
          <w:szCs w:val="32"/>
        </w:rPr>
        <w:t>8）电气控制模块</w:t>
      </w:r>
      <w:bookmarkEnd w:id="16"/>
      <w:r>
        <w:rPr>
          <w:rFonts w:hint="eastAsia" w:ascii="黑体" w:hAnsi="黑体" w:eastAsia="黑体" w:cs="黑体"/>
          <w:bCs/>
          <w:sz w:val="32"/>
          <w:szCs w:val="32"/>
        </w:rPr>
        <w:t xml:space="preserve"> </w:t>
      </w:r>
    </w:p>
    <w:p w14:paraId="0D1218FA">
      <w:pPr>
        <w:spacing w:line="360" w:lineRule="auto"/>
        <w:ind w:firstLine="640" w:firstLineChars="200"/>
        <w:rPr>
          <w:rFonts w:ascii="Times New Roman" w:hAnsi="Times New Roman" w:cs="宋体"/>
          <w:sz w:val="28"/>
          <w:szCs w:val="28"/>
        </w:rPr>
      </w:pPr>
      <w:r>
        <w:rPr>
          <w:rFonts w:hint="eastAsia" w:ascii="仿宋_GB2312" w:hAnsi="仿宋_GB2312" w:eastAsia="仿宋_GB2312" w:cs="仿宋_GB2312"/>
          <w:sz w:val="32"/>
          <w:szCs w:val="32"/>
        </w:rPr>
        <w:t>电气控制模块由西门子S7-1500 PLC实现控制，配置主流电气元件，具体如图10所示。</w:t>
      </w:r>
    </w:p>
    <w:p w14:paraId="0D1218FB">
      <w:pPr>
        <w:spacing w:line="360" w:lineRule="auto"/>
        <w:ind w:firstLine="420" w:firstLineChars="200"/>
        <w:jc w:val="center"/>
        <w:rPr>
          <w:rFonts w:ascii="Times New Roman" w:hAnsi="Times New Roman"/>
        </w:rPr>
      </w:pPr>
      <w:r>
        <w:rPr>
          <w:rFonts w:ascii="Times New Roman" w:hAnsi="Times New Roman"/>
        </w:rPr>
        <w:drawing>
          <wp:inline distT="0" distB="0" distL="114300" distR="114300">
            <wp:extent cx="2254250" cy="2004060"/>
            <wp:effectExtent l="0" t="0" r="12700" b="1524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4"/>
                    <a:stretch>
                      <a:fillRect/>
                    </a:stretch>
                  </pic:blipFill>
                  <pic:spPr>
                    <a:xfrm>
                      <a:off x="0" y="0"/>
                      <a:ext cx="2254250" cy="2004095"/>
                    </a:xfrm>
                    <a:prstGeom prst="rect">
                      <a:avLst/>
                    </a:prstGeom>
                    <a:noFill/>
                    <a:ln>
                      <a:noFill/>
                    </a:ln>
                  </pic:spPr>
                </pic:pic>
              </a:graphicData>
            </a:graphic>
          </wp:inline>
        </w:drawing>
      </w:r>
    </w:p>
    <w:p w14:paraId="0D1218FC">
      <w:pPr>
        <w:spacing w:line="360" w:lineRule="auto"/>
        <w:jc w:val="center"/>
        <w:rPr>
          <w:rFonts w:ascii="Times New Roman" w:hAnsi="Times New Roman"/>
          <w:sz w:val="22"/>
          <w:szCs w:val="28"/>
        </w:rPr>
      </w:pPr>
      <w:r>
        <w:rPr>
          <w:rFonts w:hint="eastAsia" w:ascii="Times New Roman" w:hAnsi="Times New Roman"/>
          <w:sz w:val="22"/>
          <w:szCs w:val="28"/>
        </w:rPr>
        <w:t>图10 可编程逻辑控制器参考图</w:t>
      </w:r>
    </w:p>
    <w:p w14:paraId="0D1218FD">
      <w:pPr>
        <w:keepNext/>
        <w:keepLines/>
        <w:adjustRightInd w:val="0"/>
        <w:snapToGrid w:val="0"/>
        <w:spacing w:line="360" w:lineRule="auto"/>
        <w:ind w:firstLine="640" w:firstLineChars="200"/>
        <w:outlineLvl w:val="1"/>
        <w:rPr>
          <w:rFonts w:hint="eastAsia" w:ascii="黑体" w:hAnsi="黑体" w:eastAsia="黑体" w:cs="黑体"/>
          <w:bCs/>
          <w:sz w:val="32"/>
          <w:szCs w:val="32"/>
        </w:rPr>
      </w:pPr>
      <w:bookmarkStart w:id="17" w:name="_Toc214452773"/>
      <w:r>
        <w:rPr>
          <w:rFonts w:hint="eastAsia" w:ascii="黑体" w:hAnsi="黑体" w:eastAsia="黑体" w:cs="黑体"/>
          <w:bCs/>
          <w:sz w:val="32"/>
          <w:szCs w:val="32"/>
        </w:rPr>
        <w:t>2、每个比赛工位配置设施</w:t>
      </w:r>
      <w:bookmarkEnd w:id="17"/>
    </w:p>
    <w:p w14:paraId="0D1218FE">
      <w:pPr>
        <w:spacing w:line="360" w:lineRule="auto"/>
        <w:ind w:firstLine="64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t>根据竞赛需要，由承办单位提供15套竞赛设备及配套软件，每个比赛工位应配置如下设施，见表2</w:t>
      </w:r>
      <w:r>
        <w:rPr>
          <w:rFonts w:hint="eastAsia" w:ascii="仿宋_GB2312" w:hAnsi="仿宋_GB2312" w:eastAsia="仿宋_GB2312" w:cs="仿宋_GB2312"/>
          <w:sz w:val="28"/>
          <w:szCs w:val="28"/>
        </w:rPr>
        <w:t>。</w:t>
      </w:r>
    </w:p>
    <w:p w14:paraId="0D1218FF">
      <w:pPr>
        <w:spacing w:line="360" w:lineRule="auto"/>
        <w:jc w:val="center"/>
        <w:rPr>
          <w:rFonts w:ascii="Times New Roman" w:hAnsi="Times New Roman" w:eastAsia="楷体" w:cs="宋体"/>
          <w:sz w:val="32"/>
          <w:szCs w:val="32"/>
        </w:rPr>
      </w:pPr>
      <w:r>
        <w:rPr>
          <w:rFonts w:hint="eastAsia" w:ascii="仿宋_GB2312" w:hAnsi="仿宋_GB2312" w:eastAsia="仿宋_GB2312" w:cs="仿宋_GB2312"/>
          <w:sz w:val="32"/>
          <w:szCs w:val="32"/>
        </w:rPr>
        <w:t>表2 比赛工位配置表</w:t>
      </w:r>
    </w:p>
    <w:tbl>
      <w:tblPr>
        <w:tblStyle w:val="11"/>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298"/>
        <w:gridCol w:w="2422"/>
        <w:gridCol w:w="1703"/>
        <w:gridCol w:w="1711"/>
      </w:tblGrid>
      <w:tr w14:paraId="0D12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001" w:type="dxa"/>
            <w:vAlign w:val="center"/>
          </w:tcPr>
          <w:p w14:paraId="0D121900">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z w:val="24"/>
              </w:rPr>
              <w:t>序号</w:t>
            </w:r>
          </w:p>
        </w:tc>
        <w:tc>
          <w:tcPr>
            <w:tcW w:w="2298" w:type="dxa"/>
            <w:vAlign w:val="center"/>
          </w:tcPr>
          <w:p w14:paraId="0D121901">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z w:val="24"/>
              </w:rPr>
              <w:t>设备名称</w:t>
            </w:r>
          </w:p>
        </w:tc>
        <w:tc>
          <w:tcPr>
            <w:tcW w:w="2422" w:type="dxa"/>
            <w:vAlign w:val="center"/>
          </w:tcPr>
          <w:p w14:paraId="0D121902">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z w:val="24"/>
              </w:rPr>
              <w:t>规格</w:t>
            </w:r>
          </w:p>
        </w:tc>
        <w:tc>
          <w:tcPr>
            <w:tcW w:w="1703" w:type="dxa"/>
            <w:vAlign w:val="center"/>
          </w:tcPr>
          <w:p w14:paraId="0D121903">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z w:val="24"/>
              </w:rPr>
              <w:t>数量</w:t>
            </w:r>
          </w:p>
        </w:tc>
        <w:tc>
          <w:tcPr>
            <w:tcW w:w="1711" w:type="dxa"/>
            <w:vAlign w:val="center"/>
          </w:tcPr>
          <w:p w14:paraId="0D121904">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z w:val="24"/>
              </w:rPr>
              <w:t>备注</w:t>
            </w:r>
          </w:p>
        </w:tc>
      </w:tr>
      <w:tr w14:paraId="0D12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001" w:type="dxa"/>
            <w:vAlign w:val="center"/>
          </w:tcPr>
          <w:p w14:paraId="0D121906">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2298" w:type="dxa"/>
            <w:vAlign w:val="center"/>
          </w:tcPr>
          <w:p w14:paraId="0D121907">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机器人系统集成应用创新平台</w:t>
            </w:r>
          </w:p>
        </w:tc>
        <w:tc>
          <w:tcPr>
            <w:tcW w:w="2422" w:type="dxa"/>
            <w:vAlign w:val="center"/>
          </w:tcPr>
          <w:p w14:paraId="0D121908">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APSX-03EI</w:t>
            </w:r>
          </w:p>
        </w:tc>
        <w:tc>
          <w:tcPr>
            <w:tcW w:w="1703" w:type="dxa"/>
            <w:vAlign w:val="center"/>
          </w:tcPr>
          <w:p w14:paraId="0D121909">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1套</w:t>
            </w:r>
          </w:p>
        </w:tc>
        <w:tc>
          <w:tcPr>
            <w:tcW w:w="1711" w:type="dxa"/>
            <w:vAlign w:val="center"/>
          </w:tcPr>
          <w:p w14:paraId="0D12190A">
            <w:pPr>
              <w:adjustRightInd w:val="0"/>
              <w:snapToGrid w:val="0"/>
              <w:jc w:val="center"/>
              <w:rPr>
                <w:rFonts w:hint="eastAsia" w:ascii="仿宋_GB2312" w:hAnsi="仿宋_GB2312" w:eastAsia="仿宋_GB2312" w:cs="仿宋_GB2312"/>
                <w:sz w:val="24"/>
              </w:rPr>
            </w:pPr>
          </w:p>
        </w:tc>
      </w:tr>
      <w:tr w14:paraId="0D12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001" w:type="dxa"/>
            <w:vAlign w:val="center"/>
          </w:tcPr>
          <w:p w14:paraId="0D12190C">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298" w:type="dxa"/>
            <w:vAlign w:val="center"/>
          </w:tcPr>
          <w:p w14:paraId="0D12190D">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工作台</w:t>
            </w:r>
          </w:p>
        </w:tc>
        <w:tc>
          <w:tcPr>
            <w:tcW w:w="2422" w:type="dxa"/>
            <w:vAlign w:val="center"/>
          </w:tcPr>
          <w:p w14:paraId="0D12190E">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1703" w:type="dxa"/>
            <w:vAlign w:val="center"/>
          </w:tcPr>
          <w:p w14:paraId="0D12190F">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1张</w:t>
            </w:r>
          </w:p>
        </w:tc>
        <w:tc>
          <w:tcPr>
            <w:tcW w:w="1711" w:type="dxa"/>
            <w:vAlign w:val="center"/>
          </w:tcPr>
          <w:p w14:paraId="0D121910">
            <w:pPr>
              <w:adjustRightInd w:val="0"/>
              <w:snapToGrid w:val="0"/>
              <w:jc w:val="center"/>
              <w:rPr>
                <w:rFonts w:hint="eastAsia" w:ascii="仿宋_GB2312" w:hAnsi="仿宋_GB2312" w:eastAsia="仿宋_GB2312" w:cs="仿宋_GB2312"/>
                <w:sz w:val="24"/>
              </w:rPr>
            </w:pPr>
          </w:p>
        </w:tc>
      </w:tr>
      <w:tr w14:paraId="0D12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001" w:type="dxa"/>
            <w:vAlign w:val="center"/>
          </w:tcPr>
          <w:p w14:paraId="0D121912">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2298" w:type="dxa"/>
            <w:vAlign w:val="center"/>
          </w:tcPr>
          <w:p w14:paraId="0D121913">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座椅</w:t>
            </w:r>
          </w:p>
        </w:tc>
        <w:tc>
          <w:tcPr>
            <w:tcW w:w="2422" w:type="dxa"/>
            <w:vAlign w:val="center"/>
          </w:tcPr>
          <w:p w14:paraId="0D121914">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1703" w:type="dxa"/>
            <w:vAlign w:val="center"/>
          </w:tcPr>
          <w:p w14:paraId="0D121915">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1把</w:t>
            </w:r>
          </w:p>
        </w:tc>
        <w:tc>
          <w:tcPr>
            <w:tcW w:w="1711" w:type="dxa"/>
            <w:vAlign w:val="center"/>
          </w:tcPr>
          <w:p w14:paraId="0D121916">
            <w:pPr>
              <w:adjustRightInd w:val="0"/>
              <w:snapToGrid w:val="0"/>
              <w:jc w:val="center"/>
              <w:rPr>
                <w:rFonts w:hint="eastAsia" w:ascii="仿宋_GB2312" w:hAnsi="仿宋_GB2312" w:eastAsia="仿宋_GB2312" w:cs="仿宋_GB2312"/>
                <w:sz w:val="24"/>
              </w:rPr>
            </w:pPr>
          </w:p>
        </w:tc>
      </w:tr>
      <w:tr w14:paraId="0D12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001" w:type="dxa"/>
            <w:vAlign w:val="center"/>
          </w:tcPr>
          <w:p w14:paraId="0D121918">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2298" w:type="dxa"/>
            <w:vAlign w:val="center"/>
          </w:tcPr>
          <w:p w14:paraId="0D121919">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气源</w:t>
            </w:r>
          </w:p>
        </w:tc>
        <w:tc>
          <w:tcPr>
            <w:tcW w:w="2422" w:type="dxa"/>
            <w:vAlign w:val="center"/>
          </w:tcPr>
          <w:p w14:paraId="0D12191A">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气源压力在0.6Mpa</w:t>
            </w:r>
          </w:p>
        </w:tc>
        <w:tc>
          <w:tcPr>
            <w:tcW w:w="1703" w:type="dxa"/>
            <w:vAlign w:val="center"/>
          </w:tcPr>
          <w:p w14:paraId="0D12191B">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1个</w:t>
            </w:r>
          </w:p>
        </w:tc>
        <w:tc>
          <w:tcPr>
            <w:tcW w:w="1711" w:type="dxa"/>
            <w:vAlign w:val="center"/>
          </w:tcPr>
          <w:p w14:paraId="0D12191C">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8mm直径气管接头</w:t>
            </w:r>
          </w:p>
        </w:tc>
      </w:tr>
    </w:tbl>
    <w:p w14:paraId="0D12191E">
      <w:pPr>
        <w:keepNext/>
        <w:keepLines/>
        <w:adjustRightInd w:val="0"/>
        <w:snapToGrid w:val="0"/>
        <w:spacing w:line="360" w:lineRule="auto"/>
        <w:ind w:firstLine="640" w:firstLineChars="200"/>
        <w:outlineLvl w:val="1"/>
        <w:rPr>
          <w:rFonts w:hint="eastAsia" w:ascii="黑体" w:hAnsi="黑体" w:eastAsia="黑体" w:cs="黑体"/>
          <w:bCs/>
          <w:sz w:val="32"/>
          <w:szCs w:val="32"/>
        </w:rPr>
      </w:pPr>
      <w:bookmarkStart w:id="18" w:name="_Toc214452774"/>
      <w:r>
        <w:rPr>
          <w:rFonts w:hint="eastAsia" w:ascii="黑体" w:hAnsi="黑体" w:eastAsia="黑体" w:cs="黑体"/>
          <w:bCs/>
          <w:sz w:val="32"/>
          <w:szCs w:val="32"/>
        </w:rPr>
        <w:t>3、赛场辅助设施</w:t>
      </w:r>
      <w:bookmarkEnd w:id="18"/>
    </w:p>
    <w:p w14:paraId="0D12191F">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根据竞赛需要，赛场还需准备如下辅助设施，见表3。</w:t>
      </w:r>
    </w:p>
    <w:tbl>
      <w:tblPr>
        <w:tblStyle w:val="7"/>
        <w:tblpPr w:leftFromText="180" w:rightFromText="180" w:vertAnchor="text" w:horzAnchor="page" w:tblpXSpec="center" w:tblpY="401"/>
        <w:tblOverlap w:val="never"/>
        <w:tblW w:w="0" w:type="auto"/>
        <w:tblInd w:w="0" w:type="dxa"/>
        <w:tblLayout w:type="fixed"/>
        <w:tblCellMar>
          <w:top w:w="0" w:type="dxa"/>
          <w:left w:w="0" w:type="dxa"/>
          <w:bottom w:w="0" w:type="dxa"/>
          <w:right w:w="0" w:type="dxa"/>
        </w:tblCellMar>
      </w:tblPr>
      <w:tblGrid>
        <w:gridCol w:w="917"/>
        <w:gridCol w:w="2002"/>
        <w:gridCol w:w="2771"/>
        <w:gridCol w:w="970"/>
        <w:gridCol w:w="2348"/>
      </w:tblGrid>
      <w:tr w14:paraId="0D121925">
        <w:tblPrEx>
          <w:tblCellMar>
            <w:top w:w="0" w:type="dxa"/>
            <w:left w:w="0" w:type="dxa"/>
            <w:bottom w:w="0" w:type="dxa"/>
            <w:right w:w="0" w:type="dxa"/>
          </w:tblCellMar>
        </w:tblPrEx>
        <w:trPr>
          <w:trHeight w:val="452"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20">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pacing w:val="-1"/>
                <w:sz w:val="24"/>
              </w:rPr>
              <w:t>序</w:t>
            </w:r>
            <w:r>
              <w:rPr>
                <w:rFonts w:hint="eastAsia" w:ascii="仿宋_GB2312" w:hAnsi="仿宋_GB2312" w:eastAsia="仿宋_GB2312" w:cs="仿宋_GB2312"/>
                <w:b/>
                <w:sz w:val="24"/>
              </w:rPr>
              <w:t>号</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21">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pacing w:val="-1"/>
                <w:sz w:val="24"/>
              </w:rPr>
              <w:t>名</w:t>
            </w:r>
            <w:r>
              <w:rPr>
                <w:rFonts w:hint="eastAsia" w:ascii="仿宋_GB2312" w:hAnsi="仿宋_GB2312" w:eastAsia="仿宋_GB2312" w:cs="仿宋_GB2312"/>
                <w:b/>
                <w:sz w:val="24"/>
              </w:rPr>
              <w:t>称</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22">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pacing w:val="-1"/>
                <w:sz w:val="24"/>
              </w:rPr>
              <w:t>规</w:t>
            </w:r>
            <w:r>
              <w:rPr>
                <w:rFonts w:hint="eastAsia" w:ascii="仿宋_GB2312" w:hAnsi="仿宋_GB2312" w:eastAsia="仿宋_GB2312" w:cs="仿宋_GB2312"/>
                <w:b/>
                <w:sz w:val="24"/>
              </w:rPr>
              <w:t>格</w:t>
            </w:r>
          </w:p>
        </w:tc>
        <w:tc>
          <w:tcPr>
            <w:tcW w:w="970" w:type="dxa"/>
            <w:tcBorders>
              <w:top w:val="single" w:color="000000" w:sz="4" w:space="0"/>
              <w:left w:val="single" w:color="000000" w:sz="4" w:space="0"/>
              <w:bottom w:val="single" w:color="000000" w:sz="4" w:space="0"/>
              <w:right w:val="single" w:color="000000" w:sz="4" w:space="0"/>
            </w:tcBorders>
            <w:vAlign w:val="center"/>
          </w:tcPr>
          <w:p w14:paraId="0D121923">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pacing w:val="-1"/>
                <w:sz w:val="24"/>
              </w:rPr>
              <w:t>数</w:t>
            </w:r>
            <w:r>
              <w:rPr>
                <w:rFonts w:hint="eastAsia" w:ascii="仿宋_GB2312" w:hAnsi="仿宋_GB2312" w:eastAsia="仿宋_GB2312" w:cs="仿宋_GB2312"/>
                <w:b/>
                <w:sz w:val="24"/>
              </w:rPr>
              <w:t>量</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24">
            <w:pPr>
              <w:adjustRightInd w:val="0"/>
              <w:snapToGrid w:val="0"/>
              <w:jc w:val="center"/>
              <w:rPr>
                <w:rFonts w:hint="eastAsia" w:ascii="仿宋_GB2312" w:hAnsi="仿宋_GB2312" w:eastAsia="仿宋_GB2312" w:cs="仿宋_GB2312"/>
                <w:b/>
                <w:sz w:val="24"/>
              </w:rPr>
            </w:pPr>
            <w:r>
              <w:rPr>
                <w:rFonts w:hint="eastAsia" w:ascii="仿宋_GB2312" w:hAnsi="仿宋_GB2312" w:eastAsia="仿宋_GB2312" w:cs="仿宋_GB2312"/>
                <w:b/>
                <w:spacing w:val="-1"/>
                <w:sz w:val="24"/>
              </w:rPr>
              <w:t>备</w:t>
            </w:r>
            <w:r>
              <w:rPr>
                <w:rFonts w:hint="eastAsia" w:ascii="仿宋_GB2312" w:hAnsi="仿宋_GB2312" w:eastAsia="仿宋_GB2312" w:cs="仿宋_GB2312"/>
                <w:b/>
                <w:sz w:val="24"/>
              </w:rPr>
              <w:t>注</w:t>
            </w:r>
          </w:p>
        </w:tc>
      </w:tr>
      <w:tr w14:paraId="0D12192B">
        <w:tblPrEx>
          <w:tblCellMar>
            <w:top w:w="0" w:type="dxa"/>
            <w:left w:w="0" w:type="dxa"/>
            <w:bottom w:w="0" w:type="dxa"/>
            <w:right w:w="0" w:type="dxa"/>
          </w:tblCellMar>
        </w:tblPrEx>
        <w:trPr>
          <w:trHeight w:val="467"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26">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27">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音</w:t>
            </w:r>
            <w:r>
              <w:rPr>
                <w:rFonts w:hint="eastAsia" w:ascii="仿宋_GB2312" w:hAnsi="仿宋_GB2312" w:eastAsia="仿宋_GB2312" w:cs="仿宋_GB2312"/>
                <w:spacing w:val="-3"/>
                <w:sz w:val="24"/>
              </w:rPr>
              <w:t>响</w:t>
            </w:r>
            <w:r>
              <w:rPr>
                <w:rFonts w:hint="eastAsia" w:ascii="仿宋_GB2312" w:hAnsi="仿宋_GB2312" w:eastAsia="仿宋_GB2312" w:cs="仿宋_GB2312"/>
                <w:spacing w:val="-1"/>
                <w:sz w:val="24"/>
              </w:rPr>
              <w:t>及扩</w:t>
            </w:r>
            <w:r>
              <w:rPr>
                <w:rFonts w:hint="eastAsia" w:ascii="仿宋_GB2312" w:hAnsi="仿宋_GB2312" w:eastAsia="仿宋_GB2312" w:cs="仿宋_GB2312"/>
                <w:spacing w:val="-3"/>
                <w:sz w:val="24"/>
              </w:rPr>
              <w:t>音</w:t>
            </w:r>
            <w:r>
              <w:rPr>
                <w:rFonts w:hint="eastAsia" w:ascii="仿宋_GB2312" w:hAnsi="仿宋_GB2312" w:eastAsia="仿宋_GB2312" w:cs="仿宋_GB2312"/>
                <w:sz w:val="24"/>
              </w:rPr>
              <w:t>器</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28">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能</w:t>
            </w:r>
            <w:r>
              <w:rPr>
                <w:rFonts w:hint="eastAsia" w:ascii="仿宋_GB2312" w:hAnsi="仿宋_GB2312" w:eastAsia="仿宋_GB2312" w:cs="仿宋_GB2312"/>
                <w:spacing w:val="-3"/>
                <w:sz w:val="24"/>
              </w:rPr>
              <w:t>涵</w:t>
            </w:r>
            <w:r>
              <w:rPr>
                <w:rFonts w:hint="eastAsia" w:ascii="仿宋_GB2312" w:hAnsi="仿宋_GB2312" w:eastAsia="仿宋_GB2312" w:cs="仿宋_GB2312"/>
                <w:spacing w:val="-1"/>
                <w:sz w:val="24"/>
              </w:rPr>
              <w:t>盖整</w:t>
            </w:r>
            <w:r>
              <w:rPr>
                <w:rFonts w:hint="eastAsia" w:ascii="仿宋_GB2312" w:hAnsi="仿宋_GB2312" w:eastAsia="仿宋_GB2312" w:cs="仿宋_GB2312"/>
                <w:spacing w:val="-3"/>
                <w:sz w:val="24"/>
              </w:rPr>
              <w:t>个</w:t>
            </w:r>
            <w:r>
              <w:rPr>
                <w:rFonts w:hint="eastAsia" w:ascii="仿宋_GB2312" w:hAnsi="仿宋_GB2312" w:eastAsia="仿宋_GB2312" w:cs="仿宋_GB2312"/>
                <w:spacing w:val="-1"/>
                <w:sz w:val="24"/>
              </w:rPr>
              <w:t>赛</w:t>
            </w:r>
            <w:r>
              <w:rPr>
                <w:rFonts w:hint="eastAsia" w:ascii="仿宋_GB2312" w:hAnsi="仿宋_GB2312" w:eastAsia="仿宋_GB2312" w:cs="仿宋_GB2312"/>
                <w:sz w:val="24"/>
              </w:rPr>
              <w:t>场</w:t>
            </w:r>
          </w:p>
        </w:tc>
        <w:tc>
          <w:tcPr>
            <w:tcW w:w="970" w:type="dxa"/>
            <w:tcBorders>
              <w:top w:val="single" w:color="000000" w:sz="4" w:space="0"/>
              <w:left w:val="single" w:color="000000" w:sz="4" w:space="0"/>
              <w:bottom w:val="single" w:color="000000" w:sz="4" w:space="0"/>
              <w:right w:val="single" w:color="000000" w:sz="4" w:space="0"/>
            </w:tcBorders>
            <w:vAlign w:val="center"/>
          </w:tcPr>
          <w:p w14:paraId="0D121929">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1</w:t>
            </w:r>
            <w:r>
              <w:rPr>
                <w:rFonts w:hint="eastAsia" w:ascii="仿宋_GB2312" w:hAnsi="仿宋_GB2312" w:eastAsia="仿宋_GB2312" w:cs="仿宋_GB2312"/>
                <w:sz w:val="24"/>
              </w:rPr>
              <w:t>套</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2A">
            <w:pPr>
              <w:adjustRightInd w:val="0"/>
              <w:snapToGrid w:val="0"/>
              <w:jc w:val="center"/>
              <w:rPr>
                <w:rFonts w:hint="eastAsia" w:ascii="仿宋_GB2312" w:hAnsi="仿宋_GB2312" w:eastAsia="仿宋_GB2312" w:cs="仿宋_GB2312"/>
                <w:sz w:val="24"/>
              </w:rPr>
            </w:pPr>
          </w:p>
        </w:tc>
      </w:tr>
      <w:tr w14:paraId="0D121931">
        <w:tblPrEx>
          <w:tblCellMar>
            <w:top w:w="0" w:type="dxa"/>
            <w:left w:w="0" w:type="dxa"/>
            <w:bottom w:w="0" w:type="dxa"/>
            <w:right w:w="0" w:type="dxa"/>
          </w:tblCellMar>
        </w:tblPrEx>
        <w:trPr>
          <w:trHeight w:val="452"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2C">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2D">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无</w:t>
            </w:r>
            <w:r>
              <w:rPr>
                <w:rFonts w:hint="eastAsia" w:ascii="仿宋_GB2312" w:hAnsi="仿宋_GB2312" w:eastAsia="仿宋_GB2312" w:cs="仿宋_GB2312"/>
                <w:spacing w:val="-3"/>
                <w:sz w:val="24"/>
              </w:rPr>
              <w:t>线</w:t>
            </w:r>
            <w:r>
              <w:rPr>
                <w:rFonts w:hint="eastAsia" w:ascii="仿宋_GB2312" w:hAnsi="仿宋_GB2312" w:eastAsia="仿宋_GB2312" w:cs="仿宋_GB2312"/>
                <w:spacing w:val="-1"/>
                <w:sz w:val="24"/>
              </w:rPr>
              <w:t>麦克</w:t>
            </w:r>
            <w:r>
              <w:rPr>
                <w:rFonts w:hint="eastAsia" w:ascii="仿宋_GB2312" w:hAnsi="仿宋_GB2312" w:eastAsia="仿宋_GB2312" w:cs="仿宋_GB2312"/>
                <w:sz w:val="24"/>
              </w:rPr>
              <w:t>风</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2E">
            <w:pPr>
              <w:adjustRightInd w:val="0"/>
              <w:snapToGrid w:val="0"/>
              <w:jc w:val="center"/>
              <w:rPr>
                <w:rFonts w:hint="eastAsia" w:ascii="仿宋_GB2312" w:hAnsi="仿宋_GB2312" w:eastAsia="仿宋_GB2312" w:cs="仿宋_GB2312"/>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2F">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2</w:t>
            </w:r>
            <w:r>
              <w:rPr>
                <w:rFonts w:hint="eastAsia" w:ascii="仿宋_GB2312" w:hAnsi="仿宋_GB2312" w:eastAsia="仿宋_GB2312" w:cs="仿宋_GB2312"/>
                <w:sz w:val="24"/>
              </w:rPr>
              <w:t>个</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30">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与</w:t>
            </w:r>
            <w:r>
              <w:rPr>
                <w:rFonts w:hint="eastAsia" w:ascii="仿宋_GB2312" w:hAnsi="仿宋_GB2312" w:eastAsia="仿宋_GB2312" w:cs="仿宋_GB2312"/>
                <w:spacing w:val="-3"/>
                <w:sz w:val="24"/>
              </w:rPr>
              <w:t>音</w:t>
            </w:r>
            <w:r>
              <w:rPr>
                <w:rFonts w:hint="eastAsia" w:ascii="仿宋_GB2312" w:hAnsi="仿宋_GB2312" w:eastAsia="仿宋_GB2312" w:cs="仿宋_GB2312"/>
                <w:spacing w:val="-1"/>
                <w:sz w:val="24"/>
              </w:rPr>
              <w:t>响配</w:t>
            </w:r>
            <w:r>
              <w:rPr>
                <w:rFonts w:hint="eastAsia" w:ascii="仿宋_GB2312" w:hAnsi="仿宋_GB2312" w:eastAsia="仿宋_GB2312" w:cs="仿宋_GB2312"/>
                <w:sz w:val="24"/>
              </w:rPr>
              <w:t>套</w:t>
            </w:r>
          </w:p>
        </w:tc>
      </w:tr>
      <w:tr w14:paraId="0D121937">
        <w:tblPrEx>
          <w:tblCellMar>
            <w:top w:w="0" w:type="dxa"/>
            <w:left w:w="0" w:type="dxa"/>
            <w:bottom w:w="0" w:type="dxa"/>
            <w:right w:w="0" w:type="dxa"/>
          </w:tblCellMar>
        </w:tblPrEx>
        <w:trPr>
          <w:trHeight w:val="467"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32">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33">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口</w:t>
            </w:r>
            <w:r>
              <w:rPr>
                <w:rFonts w:hint="eastAsia" w:ascii="仿宋_GB2312" w:hAnsi="仿宋_GB2312" w:eastAsia="仿宋_GB2312" w:cs="仿宋_GB2312"/>
                <w:sz w:val="24"/>
              </w:rPr>
              <w:t>哨</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34">
            <w:pPr>
              <w:adjustRightInd w:val="0"/>
              <w:snapToGrid w:val="0"/>
              <w:jc w:val="center"/>
              <w:rPr>
                <w:rFonts w:hint="eastAsia" w:ascii="仿宋_GB2312" w:hAnsi="仿宋_GB2312" w:eastAsia="仿宋_GB2312" w:cs="仿宋_GB2312"/>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35">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2</w:t>
            </w:r>
            <w:r>
              <w:rPr>
                <w:rFonts w:hint="eastAsia" w:ascii="仿宋_GB2312" w:hAnsi="仿宋_GB2312" w:eastAsia="仿宋_GB2312" w:cs="仿宋_GB2312"/>
                <w:sz w:val="24"/>
              </w:rPr>
              <w:t>个</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36">
            <w:pPr>
              <w:adjustRightInd w:val="0"/>
              <w:snapToGrid w:val="0"/>
              <w:jc w:val="center"/>
              <w:rPr>
                <w:rFonts w:hint="eastAsia" w:ascii="仿宋_GB2312" w:hAnsi="仿宋_GB2312" w:eastAsia="仿宋_GB2312" w:cs="仿宋_GB2312"/>
                <w:sz w:val="24"/>
              </w:rPr>
            </w:pPr>
          </w:p>
        </w:tc>
      </w:tr>
      <w:tr w14:paraId="0D12193D">
        <w:tblPrEx>
          <w:tblCellMar>
            <w:top w:w="0" w:type="dxa"/>
            <w:left w:w="0" w:type="dxa"/>
            <w:bottom w:w="0" w:type="dxa"/>
            <w:right w:w="0" w:type="dxa"/>
          </w:tblCellMar>
        </w:tblPrEx>
        <w:trPr>
          <w:trHeight w:val="452"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38">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39">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赛</w:t>
            </w:r>
            <w:r>
              <w:rPr>
                <w:rFonts w:hint="eastAsia" w:ascii="仿宋_GB2312" w:hAnsi="仿宋_GB2312" w:eastAsia="仿宋_GB2312" w:cs="仿宋_GB2312"/>
                <w:spacing w:val="-3"/>
                <w:sz w:val="24"/>
              </w:rPr>
              <w:t>场</w:t>
            </w:r>
            <w:r>
              <w:rPr>
                <w:rFonts w:hint="eastAsia" w:ascii="仿宋_GB2312" w:hAnsi="仿宋_GB2312" w:eastAsia="仿宋_GB2312" w:cs="仿宋_GB2312"/>
                <w:spacing w:val="-1"/>
                <w:sz w:val="24"/>
              </w:rPr>
              <w:t>时</w:t>
            </w:r>
            <w:r>
              <w:rPr>
                <w:rFonts w:hint="eastAsia" w:ascii="仿宋_GB2312" w:hAnsi="仿宋_GB2312" w:eastAsia="仿宋_GB2312" w:cs="仿宋_GB2312"/>
                <w:sz w:val="24"/>
              </w:rPr>
              <w:t>钟</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3A">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具</w:t>
            </w:r>
            <w:r>
              <w:rPr>
                <w:rFonts w:hint="eastAsia" w:ascii="仿宋_GB2312" w:hAnsi="仿宋_GB2312" w:eastAsia="仿宋_GB2312" w:cs="仿宋_GB2312"/>
                <w:spacing w:val="-3"/>
                <w:sz w:val="24"/>
              </w:rPr>
              <w:t>有</w:t>
            </w:r>
            <w:r>
              <w:rPr>
                <w:rFonts w:hint="eastAsia" w:ascii="仿宋_GB2312" w:hAnsi="仿宋_GB2312" w:eastAsia="仿宋_GB2312" w:cs="仿宋_GB2312"/>
                <w:spacing w:val="-1"/>
                <w:sz w:val="24"/>
              </w:rPr>
              <w:t>时/分/</w:t>
            </w:r>
            <w:r>
              <w:rPr>
                <w:rFonts w:hint="eastAsia" w:ascii="仿宋_GB2312" w:hAnsi="仿宋_GB2312" w:eastAsia="仿宋_GB2312" w:cs="仿宋_GB2312"/>
                <w:spacing w:val="-3"/>
                <w:sz w:val="24"/>
              </w:rPr>
              <w:t>秒</w:t>
            </w:r>
            <w:r>
              <w:rPr>
                <w:rFonts w:hint="eastAsia" w:ascii="仿宋_GB2312" w:hAnsi="仿宋_GB2312" w:eastAsia="仿宋_GB2312" w:cs="仿宋_GB2312"/>
                <w:spacing w:val="-1"/>
                <w:sz w:val="24"/>
              </w:rPr>
              <w:t>/毫</w:t>
            </w:r>
            <w:r>
              <w:rPr>
                <w:rFonts w:hint="eastAsia" w:ascii="仿宋_GB2312" w:hAnsi="仿宋_GB2312" w:eastAsia="仿宋_GB2312" w:cs="仿宋_GB2312"/>
                <w:spacing w:val="-3"/>
                <w:sz w:val="24"/>
              </w:rPr>
              <w:t>秒</w:t>
            </w:r>
            <w:r>
              <w:rPr>
                <w:rFonts w:hint="eastAsia" w:ascii="仿宋_GB2312" w:hAnsi="仿宋_GB2312" w:eastAsia="仿宋_GB2312" w:cs="仿宋_GB2312"/>
                <w:spacing w:val="-1"/>
                <w:sz w:val="24"/>
              </w:rPr>
              <w:t>计</w:t>
            </w:r>
            <w:r>
              <w:rPr>
                <w:rFonts w:hint="eastAsia" w:ascii="仿宋_GB2312" w:hAnsi="仿宋_GB2312" w:eastAsia="仿宋_GB2312" w:cs="仿宋_GB2312"/>
                <w:sz w:val="24"/>
              </w:rPr>
              <w:t>时</w:t>
            </w:r>
          </w:p>
        </w:tc>
        <w:tc>
          <w:tcPr>
            <w:tcW w:w="970" w:type="dxa"/>
            <w:tcBorders>
              <w:top w:val="single" w:color="000000" w:sz="4" w:space="0"/>
              <w:left w:val="single" w:color="000000" w:sz="4" w:space="0"/>
              <w:bottom w:val="single" w:color="000000" w:sz="4" w:space="0"/>
              <w:right w:val="single" w:color="000000" w:sz="4" w:space="0"/>
            </w:tcBorders>
            <w:vAlign w:val="center"/>
          </w:tcPr>
          <w:p w14:paraId="0D12193B">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1</w:t>
            </w:r>
            <w:r>
              <w:rPr>
                <w:rFonts w:hint="eastAsia" w:ascii="仿宋_GB2312" w:hAnsi="仿宋_GB2312" w:eastAsia="仿宋_GB2312" w:cs="仿宋_GB2312"/>
                <w:sz w:val="24"/>
              </w:rPr>
              <w:t>套</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3C">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赛</w:t>
            </w:r>
            <w:r>
              <w:rPr>
                <w:rFonts w:hint="eastAsia" w:ascii="仿宋_GB2312" w:hAnsi="仿宋_GB2312" w:eastAsia="仿宋_GB2312" w:cs="仿宋_GB2312"/>
                <w:spacing w:val="-3"/>
                <w:sz w:val="24"/>
              </w:rPr>
              <w:t>场</w:t>
            </w:r>
            <w:r>
              <w:rPr>
                <w:rFonts w:hint="eastAsia" w:ascii="仿宋_GB2312" w:hAnsi="仿宋_GB2312" w:eastAsia="仿宋_GB2312" w:cs="仿宋_GB2312"/>
                <w:spacing w:val="-1"/>
                <w:sz w:val="24"/>
              </w:rPr>
              <w:t>都可</w:t>
            </w:r>
            <w:r>
              <w:rPr>
                <w:rFonts w:hint="eastAsia" w:ascii="仿宋_GB2312" w:hAnsi="仿宋_GB2312" w:eastAsia="仿宋_GB2312" w:cs="仿宋_GB2312"/>
                <w:sz w:val="24"/>
              </w:rPr>
              <w:t>见</w:t>
            </w:r>
          </w:p>
        </w:tc>
      </w:tr>
      <w:tr w14:paraId="0D121943">
        <w:tblPrEx>
          <w:tblCellMar>
            <w:top w:w="0" w:type="dxa"/>
            <w:left w:w="0" w:type="dxa"/>
            <w:bottom w:w="0" w:type="dxa"/>
            <w:right w:w="0" w:type="dxa"/>
          </w:tblCellMar>
        </w:tblPrEx>
        <w:trPr>
          <w:trHeight w:val="452"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3E">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3F">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计</w:t>
            </w:r>
            <w:r>
              <w:rPr>
                <w:rFonts w:hint="eastAsia" w:ascii="仿宋_GB2312" w:hAnsi="仿宋_GB2312" w:eastAsia="仿宋_GB2312" w:cs="仿宋_GB2312"/>
                <w:spacing w:val="-3"/>
                <w:sz w:val="24"/>
              </w:rPr>
              <w:t>时</w:t>
            </w:r>
            <w:r>
              <w:rPr>
                <w:rFonts w:hint="eastAsia" w:ascii="仿宋_GB2312" w:hAnsi="仿宋_GB2312" w:eastAsia="仿宋_GB2312" w:cs="仿宋_GB2312"/>
                <w:spacing w:val="-1"/>
                <w:sz w:val="24"/>
              </w:rPr>
              <w:t>秒</w:t>
            </w:r>
            <w:r>
              <w:rPr>
                <w:rFonts w:hint="eastAsia" w:ascii="仿宋_GB2312" w:hAnsi="仿宋_GB2312" w:eastAsia="仿宋_GB2312" w:cs="仿宋_GB2312"/>
                <w:sz w:val="24"/>
              </w:rPr>
              <w:t>表</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40">
            <w:pPr>
              <w:adjustRightInd w:val="0"/>
              <w:snapToGrid w:val="0"/>
              <w:jc w:val="center"/>
              <w:rPr>
                <w:rFonts w:hint="eastAsia" w:ascii="仿宋_GB2312" w:hAnsi="仿宋_GB2312" w:eastAsia="仿宋_GB2312" w:cs="仿宋_GB2312"/>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41">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42">
            <w:pPr>
              <w:adjustRightInd w:val="0"/>
              <w:snapToGrid w:val="0"/>
              <w:jc w:val="center"/>
              <w:rPr>
                <w:rFonts w:hint="eastAsia" w:ascii="仿宋_GB2312" w:hAnsi="仿宋_GB2312" w:eastAsia="仿宋_GB2312" w:cs="仿宋_GB2312"/>
                <w:sz w:val="24"/>
              </w:rPr>
            </w:pPr>
          </w:p>
        </w:tc>
      </w:tr>
      <w:tr w14:paraId="0D121949">
        <w:tblPrEx>
          <w:tblCellMar>
            <w:top w:w="0" w:type="dxa"/>
            <w:left w:w="0" w:type="dxa"/>
            <w:bottom w:w="0" w:type="dxa"/>
            <w:right w:w="0" w:type="dxa"/>
          </w:tblCellMar>
        </w:tblPrEx>
        <w:trPr>
          <w:trHeight w:val="467"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44">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45">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打</w:t>
            </w:r>
            <w:r>
              <w:rPr>
                <w:rFonts w:hint="eastAsia" w:ascii="仿宋_GB2312" w:hAnsi="仿宋_GB2312" w:eastAsia="仿宋_GB2312" w:cs="仿宋_GB2312"/>
                <w:spacing w:val="-3"/>
                <w:sz w:val="24"/>
              </w:rPr>
              <w:t>印</w:t>
            </w:r>
            <w:r>
              <w:rPr>
                <w:rFonts w:hint="eastAsia" w:ascii="仿宋_GB2312" w:hAnsi="仿宋_GB2312" w:eastAsia="仿宋_GB2312" w:cs="仿宋_GB2312"/>
                <w:sz w:val="24"/>
              </w:rPr>
              <w:t>机</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46">
            <w:pPr>
              <w:adjustRightInd w:val="0"/>
              <w:snapToGrid w:val="0"/>
              <w:jc w:val="center"/>
              <w:rPr>
                <w:rFonts w:hint="eastAsia" w:ascii="仿宋_GB2312" w:hAnsi="仿宋_GB2312" w:eastAsia="仿宋_GB2312" w:cs="仿宋_GB2312"/>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47">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2</w:t>
            </w:r>
            <w:r>
              <w:rPr>
                <w:rFonts w:hint="eastAsia" w:ascii="仿宋_GB2312" w:hAnsi="仿宋_GB2312" w:eastAsia="仿宋_GB2312" w:cs="仿宋_GB2312"/>
                <w:sz w:val="24"/>
              </w:rPr>
              <w:t>台</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48">
            <w:pPr>
              <w:adjustRightInd w:val="0"/>
              <w:snapToGrid w:val="0"/>
              <w:jc w:val="center"/>
              <w:rPr>
                <w:rFonts w:hint="eastAsia" w:ascii="仿宋_GB2312" w:hAnsi="仿宋_GB2312" w:eastAsia="仿宋_GB2312" w:cs="仿宋_GB2312"/>
                <w:sz w:val="24"/>
              </w:rPr>
            </w:pPr>
          </w:p>
        </w:tc>
      </w:tr>
      <w:tr w14:paraId="0D12194F">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4A">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4B">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打</w:t>
            </w:r>
            <w:r>
              <w:rPr>
                <w:rFonts w:hint="eastAsia" w:ascii="仿宋_GB2312" w:hAnsi="仿宋_GB2312" w:eastAsia="仿宋_GB2312" w:cs="仿宋_GB2312"/>
                <w:spacing w:val="-3"/>
                <w:sz w:val="24"/>
              </w:rPr>
              <w:t>印</w:t>
            </w:r>
            <w:r>
              <w:rPr>
                <w:rFonts w:hint="eastAsia" w:ascii="仿宋_GB2312" w:hAnsi="仿宋_GB2312" w:eastAsia="仿宋_GB2312" w:cs="仿宋_GB2312"/>
                <w:sz w:val="24"/>
              </w:rPr>
              <w:t>纸</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4C">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A</w:t>
            </w:r>
            <w:r>
              <w:rPr>
                <w:rFonts w:hint="eastAsia" w:ascii="仿宋_GB2312" w:hAnsi="仿宋_GB2312" w:eastAsia="仿宋_GB2312" w:cs="仿宋_GB2312"/>
                <w:sz w:val="24"/>
              </w:rPr>
              <w:t>4</w:t>
            </w:r>
          </w:p>
        </w:tc>
        <w:tc>
          <w:tcPr>
            <w:tcW w:w="970" w:type="dxa"/>
            <w:tcBorders>
              <w:top w:val="single" w:color="000000" w:sz="4" w:space="0"/>
              <w:left w:val="single" w:color="000000" w:sz="4" w:space="0"/>
              <w:bottom w:val="single" w:color="000000" w:sz="4" w:space="0"/>
              <w:right w:val="single" w:color="000000" w:sz="4" w:space="0"/>
            </w:tcBorders>
            <w:vAlign w:val="center"/>
          </w:tcPr>
          <w:p w14:paraId="0D12194D">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2</w:t>
            </w:r>
            <w:r>
              <w:rPr>
                <w:rFonts w:hint="eastAsia" w:ascii="仿宋_GB2312" w:hAnsi="仿宋_GB2312" w:eastAsia="仿宋_GB2312" w:cs="仿宋_GB2312"/>
                <w:sz w:val="24"/>
              </w:rPr>
              <w:t>箱</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4E">
            <w:pPr>
              <w:adjustRightInd w:val="0"/>
              <w:snapToGrid w:val="0"/>
              <w:jc w:val="center"/>
              <w:rPr>
                <w:rFonts w:hint="eastAsia" w:ascii="仿宋_GB2312" w:hAnsi="仿宋_GB2312" w:eastAsia="仿宋_GB2312" w:cs="仿宋_GB2312"/>
                <w:sz w:val="24"/>
              </w:rPr>
            </w:pPr>
          </w:p>
        </w:tc>
      </w:tr>
      <w:tr w14:paraId="0D121955">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50">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51">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签</w:t>
            </w:r>
            <w:r>
              <w:rPr>
                <w:rFonts w:hint="eastAsia" w:ascii="仿宋_GB2312" w:hAnsi="仿宋_GB2312" w:eastAsia="仿宋_GB2312" w:cs="仿宋_GB2312"/>
                <w:spacing w:val="-3"/>
                <w:sz w:val="24"/>
              </w:rPr>
              <w:t>字</w:t>
            </w:r>
            <w:r>
              <w:rPr>
                <w:rFonts w:hint="eastAsia" w:ascii="仿宋_GB2312" w:hAnsi="仿宋_GB2312" w:eastAsia="仿宋_GB2312" w:cs="仿宋_GB2312"/>
                <w:sz w:val="24"/>
              </w:rPr>
              <w:t>笔</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52">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红</w:t>
            </w:r>
            <w:r>
              <w:rPr>
                <w:rFonts w:hint="eastAsia" w:ascii="仿宋_GB2312" w:hAnsi="仿宋_GB2312" w:eastAsia="仿宋_GB2312" w:cs="仿宋_GB2312"/>
                <w:spacing w:val="-3"/>
                <w:sz w:val="24"/>
              </w:rPr>
              <w:t>、</w:t>
            </w:r>
            <w:r>
              <w:rPr>
                <w:rFonts w:hint="eastAsia" w:ascii="仿宋_GB2312" w:hAnsi="仿宋_GB2312" w:eastAsia="仿宋_GB2312" w:cs="仿宋_GB2312"/>
                <w:sz w:val="24"/>
              </w:rPr>
              <w:t>黑</w:t>
            </w:r>
          </w:p>
        </w:tc>
        <w:tc>
          <w:tcPr>
            <w:tcW w:w="970" w:type="dxa"/>
            <w:tcBorders>
              <w:top w:val="single" w:color="000000" w:sz="4" w:space="0"/>
              <w:left w:val="single" w:color="000000" w:sz="4" w:space="0"/>
              <w:bottom w:val="single" w:color="000000" w:sz="4" w:space="0"/>
              <w:right w:val="single" w:color="000000" w:sz="4" w:space="0"/>
            </w:tcBorders>
            <w:vAlign w:val="center"/>
          </w:tcPr>
          <w:p w14:paraId="0D121953">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54">
            <w:pPr>
              <w:adjustRightInd w:val="0"/>
              <w:snapToGrid w:val="0"/>
              <w:jc w:val="center"/>
              <w:rPr>
                <w:rFonts w:hint="eastAsia" w:ascii="仿宋_GB2312" w:hAnsi="仿宋_GB2312" w:eastAsia="仿宋_GB2312" w:cs="仿宋_GB2312"/>
                <w:sz w:val="24"/>
              </w:rPr>
            </w:pPr>
          </w:p>
        </w:tc>
      </w:tr>
      <w:tr w14:paraId="0D12195B">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56">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57">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订</w:t>
            </w:r>
            <w:r>
              <w:rPr>
                <w:rFonts w:hint="eastAsia" w:ascii="仿宋_GB2312" w:hAnsi="仿宋_GB2312" w:eastAsia="仿宋_GB2312" w:cs="仿宋_GB2312"/>
                <w:spacing w:val="-3"/>
                <w:sz w:val="24"/>
              </w:rPr>
              <w:t>书</w:t>
            </w:r>
            <w:r>
              <w:rPr>
                <w:rFonts w:hint="eastAsia" w:ascii="仿宋_GB2312" w:hAnsi="仿宋_GB2312" w:eastAsia="仿宋_GB2312" w:cs="仿宋_GB2312"/>
                <w:spacing w:val="-1"/>
                <w:sz w:val="24"/>
              </w:rPr>
              <w:t>机及</w:t>
            </w:r>
            <w:r>
              <w:rPr>
                <w:rFonts w:hint="eastAsia" w:ascii="仿宋_GB2312" w:hAnsi="仿宋_GB2312" w:eastAsia="仿宋_GB2312" w:cs="仿宋_GB2312"/>
                <w:sz w:val="24"/>
              </w:rPr>
              <w:t>钉</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58">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59">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1</w:t>
            </w:r>
            <w:r>
              <w:rPr>
                <w:rFonts w:hint="eastAsia" w:ascii="仿宋_GB2312" w:hAnsi="仿宋_GB2312" w:eastAsia="仿宋_GB2312" w:cs="仿宋_GB2312"/>
                <w:sz w:val="24"/>
              </w:rPr>
              <w:t>套</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5A">
            <w:pPr>
              <w:adjustRightInd w:val="0"/>
              <w:snapToGrid w:val="0"/>
              <w:jc w:val="center"/>
              <w:rPr>
                <w:rFonts w:hint="eastAsia" w:ascii="仿宋_GB2312" w:hAnsi="仿宋_GB2312" w:eastAsia="仿宋_GB2312" w:cs="仿宋_GB2312"/>
                <w:sz w:val="24"/>
              </w:rPr>
            </w:pPr>
          </w:p>
        </w:tc>
      </w:tr>
      <w:tr w14:paraId="0D121961">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5C">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5D">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评</w:t>
            </w:r>
            <w:r>
              <w:rPr>
                <w:rFonts w:hint="eastAsia" w:ascii="仿宋_GB2312" w:hAnsi="仿宋_GB2312" w:eastAsia="仿宋_GB2312" w:cs="仿宋_GB2312"/>
                <w:spacing w:val="-3"/>
                <w:sz w:val="24"/>
              </w:rPr>
              <w:t>分</w:t>
            </w:r>
            <w:r>
              <w:rPr>
                <w:rFonts w:hint="eastAsia" w:ascii="仿宋_GB2312" w:hAnsi="仿宋_GB2312" w:eastAsia="仿宋_GB2312" w:cs="仿宋_GB2312"/>
                <w:sz w:val="24"/>
              </w:rPr>
              <w:t>夹</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5E">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5F">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60">
            <w:pPr>
              <w:adjustRightInd w:val="0"/>
              <w:snapToGrid w:val="0"/>
              <w:jc w:val="center"/>
              <w:rPr>
                <w:rFonts w:hint="eastAsia" w:ascii="仿宋_GB2312" w:hAnsi="仿宋_GB2312" w:eastAsia="仿宋_GB2312" w:cs="仿宋_GB2312"/>
                <w:sz w:val="24"/>
              </w:rPr>
            </w:pPr>
          </w:p>
        </w:tc>
      </w:tr>
      <w:tr w14:paraId="0D121967">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62">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63">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文</w:t>
            </w:r>
            <w:r>
              <w:rPr>
                <w:rFonts w:hint="eastAsia" w:ascii="仿宋_GB2312" w:hAnsi="仿宋_GB2312" w:eastAsia="仿宋_GB2312" w:cs="仿宋_GB2312"/>
                <w:spacing w:val="-3"/>
                <w:sz w:val="24"/>
              </w:rPr>
              <w:t>件</w:t>
            </w:r>
            <w:r>
              <w:rPr>
                <w:rFonts w:hint="eastAsia" w:ascii="仿宋_GB2312" w:hAnsi="仿宋_GB2312" w:eastAsia="仿宋_GB2312" w:cs="仿宋_GB2312"/>
                <w:sz w:val="24"/>
              </w:rPr>
              <w:t>柜</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64">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65">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1</w:t>
            </w:r>
            <w:r>
              <w:rPr>
                <w:rFonts w:hint="eastAsia" w:ascii="仿宋_GB2312" w:hAnsi="仿宋_GB2312" w:eastAsia="仿宋_GB2312" w:cs="仿宋_GB2312"/>
                <w:sz w:val="24"/>
              </w:rPr>
              <w:t>套</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66">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用</w:t>
            </w:r>
            <w:r>
              <w:rPr>
                <w:rFonts w:hint="eastAsia" w:ascii="仿宋_GB2312" w:hAnsi="仿宋_GB2312" w:eastAsia="仿宋_GB2312" w:cs="仿宋_GB2312"/>
                <w:spacing w:val="-3"/>
                <w:sz w:val="24"/>
              </w:rPr>
              <w:t>于</w:t>
            </w:r>
            <w:r>
              <w:rPr>
                <w:rFonts w:hint="eastAsia" w:ascii="仿宋_GB2312" w:hAnsi="仿宋_GB2312" w:eastAsia="仿宋_GB2312" w:cs="仿宋_GB2312"/>
                <w:spacing w:val="-1"/>
                <w:sz w:val="24"/>
              </w:rPr>
              <w:t>存放</w:t>
            </w:r>
            <w:r>
              <w:rPr>
                <w:rFonts w:hint="eastAsia" w:ascii="仿宋_GB2312" w:hAnsi="仿宋_GB2312" w:eastAsia="仿宋_GB2312" w:cs="仿宋_GB2312"/>
                <w:spacing w:val="-3"/>
                <w:sz w:val="24"/>
              </w:rPr>
              <w:t>竞</w:t>
            </w:r>
            <w:r>
              <w:rPr>
                <w:rFonts w:hint="eastAsia" w:ascii="仿宋_GB2312" w:hAnsi="仿宋_GB2312" w:eastAsia="仿宋_GB2312" w:cs="仿宋_GB2312"/>
                <w:spacing w:val="-1"/>
                <w:sz w:val="24"/>
              </w:rPr>
              <w:t>赛资</w:t>
            </w:r>
            <w:r>
              <w:rPr>
                <w:rFonts w:hint="eastAsia" w:ascii="仿宋_GB2312" w:hAnsi="仿宋_GB2312" w:eastAsia="仿宋_GB2312" w:cs="仿宋_GB2312"/>
                <w:sz w:val="24"/>
              </w:rPr>
              <w:t>料</w:t>
            </w:r>
          </w:p>
        </w:tc>
      </w:tr>
      <w:tr w14:paraId="0D12196D">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68">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69">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饮</w:t>
            </w:r>
            <w:r>
              <w:rPr>
                <w:rFonts w:hint="eastAsia" w:ascii="仿宋_GB2312" w:hAnsi="仿宋_GB2312" w:eastAsia="仿宋_GB2312" w:cs="仿宋_GB2312"/>
                <w:spacing w:val="-3"/>
                <w:sz w:val="24"/>
              </w:rPr>
              <w:t>水</w:t>
            </w:r>
            <w:r>
              <w:rPr>
                <w:rFonts w:hint="eastAsia" w:ascii="仿宋_GB2312" w:hAnsi="仿宋_GB2312" w:eastAsia="仿宋_GB2312" w:cs="仿宋_GB2312"/>
                <w:sz w:val="24"/>
              </w:rPr>
              <w:t>机</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6A">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6B">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6C">
            <w:pPr>
              <w:adjustRightInd w:val="0"/>
              <w:snapToGrid w:val="0"/>
              <w:jc w:val="center"/>
              <w:rPr>
                <w:rFonts w:hint="eastAsia" w:ascii="仿宋_GB2312" w:hAnsi="仿宋_GB2312" w:eastAsia="仿宋_GB2312" w:cs="仿宋_GB2312"/>
                <w:sz w:val="24"/>
              </w:rPr>
            </w:pPr>
          </w:p>
        </w:tc>
      </w:tr>
      <w:tr w14:paraId="0D121973">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6E">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6F">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桶</w:t>
            </w:r>
            <w:r>
              <w:rPr>
                <w:rFonts w:hint="eastAsia" w:ascii="仿宋_GB2312" w:hAnsi="仿宋_GB2312" w:eastAsia="仿宋_GB2312" w:cs="仿宋_GB2312"/>
                <w:spacing w:val="-3"/>
                <w:sz w:val="24"/>
              </w:rPr>
              <w:t>装</w:t>
            </w:r>
            <w:r>
              <w:rPr>
                <w:rFonts w:hint="eastAsia" w:ascii="仿宋_GB2312" w:hAnsi="仿宋_GB2312" w:eastAsia="仿宋_GB2312" w:cs="仿宋_GB2312"/>
                <w:sz w:val="24"/>
              </w:rPr>
              <w:t>水</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70">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71">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72">
            <w:pPr>
              <w:adjustRightInd w:val="0"/>
              <w:snapToGrid w:val="0"/>
              <w:jc w:val="center"/>
              <w:rPr>
                <w:rFonts w:hint="eastAsia" w:ascii="仿宋_GB2312" w:hAnsi="仿宋_GB2312" w:eastAsia="仿宋_GB2312" w:cs="仿宋_GB2312"/>
                <w:sz w:val="24"/>
              </w:rPr>
            </w:pPr>
          </w:p>
        </w:tc>
      </w:tr>
      <w:tr w14:paraId="0D121979">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74">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14</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75">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讨</w:t>
            </w:r>
            <w:r>
              <w:rPr>
                <w:rFonts w:hint="eastAsia" w:ascii="仿宋_GB2312" w:hAnsi="仿宋_GB2312" w:eastAsia="仿宋_GB2312" w:cs="仿宋_GB2312"/>
                <w:spacing w:val="-3"/>
                <w:sz w:val="24"/>
              </w:rPr>
              <w:t>论</w:t>
            </w:r>
            <w:r>
              <w:rPr>
                <w:rFonts w:hint="eastAsia" w:ascii="仿宋_GB2312" w:hAnsi="仿宋_GB2312" w:eastAsia="仿宋_GB2312" w:cs="仿宋_GB2312"/>
                <w:spacing w:val="-1"/>
                <w:sz w:val="24"/>
              </w:rPr>
              <w:t>区工</w:t>
            </w:r>
            <w:r>
              <w:rPr>
                <w:rFonts w:hint="eastAsia" w:ascii="仿宋_GB2312" w:hAnsi="仿宋_GB2312" w:eastAsia="仿宋_GB2312" w:cs="仿宋_GB2312"/>
                <w:spacing w:val="-3"/>
                <w:sz w:val="24"/>
              </w:rPr>
              <w:t>作</w:t>
            </w:r>
            <w:r>
              <w:rPr>
                <w:rFonts w:hint="eastAsia" w:ascii="仿宋_GB2312" w:hAnsi="仿宋_GB2312" w:eastAsia="仿宋_GB2312" w:cs="仿宋_GB2312"/>
                <w:sz w:val="24"/>
              </w:rPr>
              <w:t>台</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76">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77">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78">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摆</w:t>
            </w:r>
            <w:r>
              <w:rPr>
                <w:rFonts w:hint="eastAsia" w:ascii="仿宋_GB2312" w:hAnsi="仿宋_GB2312" w:eastAsia="仿宋_GB2312" w:cs="仿宋_GB2312"/>
                <w:spacing w:val="-3"/>
                <w:sz w:val="24"/>
              </w:rPr>
              <w:t>放</w:t>
            </w:r>
            <w:r>
              <w:rPr>
                <w:rFonts w:hint="eastAsia" w:ascii="仿宋_GB2312" w:hAnsi="仿宋_GB2312" w:eastAsia="仿宋_GB2312" w:cs="仿宋_GB2312"/>
                <w:spacing w:val="-1"/>
                <w:sz w:val="24"/>
              </w:rPr>
              <w:t>在讨</w:t>
            </w:r>
            <w:r>
              <w:rPr>
                <w:rFonts w:hint="eastAsia" w:ascii="仿宋_GB2312" w:hAnsi="仿宋_GB2312" w:eastAsia="仿宋_GB2312" w:cs="仿宋_GB2312"/>
                <w:spacing w:val="-3"/>
                <w:sz w:val="24"/>
              </w:rPr>
              <w:t>论</w:t>
            </w:r>
            <w:r>
              <w:rPr>
                <w:rFonts w:hint="eastAsia" w:ascii="仿宋_GB2312" w:hAnsi="仿宋_GB2312" w:eastAsia="仿宋_GB2312" w:cs="仿宋_GB2312"/>
                <w:sz w:val="24"/>
              </w:rPr>
              <w:t>区</w:t>
            </w:r>
          </w:p>
        </w:tc>
      </w:tr>
      <w:tr w14:paraId="0D12197F">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7A">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15</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7B">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讨</w:t>
            </w:r>
            <w:r>
              <w:rPr>
                <w:rFonts w:hint="eastAsia" w:ascii="仿宋_GB2312" w:hAnsi="仿宋_GB2312" w:eastAsia="仿宋_GB2312" w:cs="仿宋_GB2312"/>
                <w:spacing w:val="-3"/>
                <w:sz w:val="24"/>
              </w:rPr>
              <w:t>论</w:t>
            </w:r>
            <w:r>
              <w:rPr>
                <w:rFonts w:hint="eastAsia" w:ascii="仿宋_GB2312" w:hAnsi="仿宋_GB2312" w:eastAsia="仿宋_GB2312" w:cs="仿宋_GB2312"/>
                <w:spacing w:val="-1"/>
                <w:sz w:val="24"/>
              </w:rPr>
              <w:t>区座</w:t>
            </w:r>
            <w:r>
              <w:rPr>
                <w:rFonts w:hint="eastAsia" w:ascii="仿宋_GB2312" w:hAnsi="仿宋_GB2312" w:eastAsia="仿宋_GB2312" w:cs="仿宋_GB2312"/>
                <w:sz w:val="24"/>
              </w:rPr>
              <w:t>椅</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7C">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7D">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7E">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摆</w:t>
            </w:r>
            <w:r>
              <w:rPr>
                <w:rFonts w:hint="eastAsia" w:ascii="仿宋_GB2312" w:hAnsi="仿宋_GB2312" w:eastAsia="仿宋_GB2312" w:cs="仿宋_GB2312"/>
                <w:spacing w:val="-3"/>
                <w:sz w:val="24"/>
              </w:rPr>
              <w:t>放</w:t>
            </w:r>
            <w:r>
              <w:rPr>
                <w:rFonts w:hint="eastAsia" w:ascii="仿宋_GB2312" w:hAnsi="仿宋_GB2312" w:eastAsia="仿宋_GB2312" w:cs="仿宋_GB2312"/>
                <w:spacing w:val="-1"/>
                <w:sz w:val="24"/>
              </w:rPr>
              <w:t>在讨</w:t>
            </w:r>
            <w:r>
              <w:rPr>
                <w:rFonts w:hint="eastAsia" w:ascii="仿宋_GB2312" w:hAnsi="仿宋_GB2312" w:eastAsia="仿宋_GB2312" w:cs="仿宋_GB2312"/>
                <w:spacing w:val="-3"/>
                <w:sz w:val="24"/>
              </w:rPr>
              <w:t>论</w:t>
            </w:r>
            <w:r>
              <w:rPr>
                <w:rFonts w:hint="eastAsia" w:ascii="仿宋_GB2312" w:hAnsi="仿宋_GB2312" w:eastAsia="仿宋_GB2312" w:cs="仿宋_GB2312"/>
                <w:sz w:val="24"/>
              </w:rPr>
              <w:t>区</w:t>
            </w:r>
          </w:p>
        </w:tc>
      </w:tr>
      <w:tr w14:paraId="0D121985">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80">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16</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81">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隔</w:t>
            </w:r>
            <w:r>
              <w:rPr>
                <w:rFonts w:hint="eastAsia" w:ascii="仿宋_GB2312" w:hAnsi="仿宋_GB2312" w:eastAsia="仿宋_GB2312" w:cs="仿宋_GB2312"/>
                <w:spacing w:val="-3"/>
                <w:sz w:val="24"/>
              </w:rPr>
              <w:t>离</w:t>
            </w:r>
            <w:r>
              <w:rPr>
                <w:rFonts w:hint="eastAsia" w:ascii="仿宋_GB2312" w:hAnsi="仿宋_GB2312" w:eastAsia="仿宋_GB2312" w:cs="仿宋_GB2312"/>
                <w:sz w:val="24"/>
              </w:rPr>
              <w:t>栏</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82">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83">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84">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包</w:t>
            </w:r>
            <w:r>
              <w:rPr>
                <w:rFonts w:hint="eastAsia" w:ascii="仿宋_GB2312" w:hAnsi="仿宋_GB2312" w:eastAsia="仿宋_GB2312" w:cs="仿宋_GB2312"/>
                <w:spacing w:val="-3"/>
                <w:sz w:val="24"/>
              </w:rPr>
              <w:t>围</w:t>
            </w:r>
            <w:r>
              <w:rPr>
                <w:rFonts w:hint="eastAsia" w:ascii="仿宋_GB2312" w:hAnsi="仿宋_GB2312" w:eastAsia="仿宋_GB2312" w:cs="仿宋_GB2312"/>
                <w:spacing w:val="-1"/>
                <w:sz w:val="24"/>
              </w:rPr>
              <w:t>赛</w:t>
            </w:r>
            <w:r>
              <w:rPr>
                <w:rFonts w:hint="eastAsia" w:ascii="仿宋_GB2312" w:hAnsi="仿宋_GB2312" w:eastAsia="仿宋_GB2312" w:cs="仿宋_GB2312"/>
                <w:sz w:val="24"/>
              </w:rPr>
              <w:t>场</w:t>
            </w:r>
          </w:p>
        </w:tc>
      </w:tr>
      <w:tr w14:paraId="0D12198B">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86">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17</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87">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安</w:t>
            </w:r>
            <w:r>
              <w:rPr>
                <w:rFonts w:hint="eastAsia" w:ascii="仿宋_GB2312" w:hAnsi="仿宋_GB2312" w:eastAsia="仿宋_GB2312" w:cs="仿宋_GB2312"/>
                <w:spacing w:val="-3"/>
                <w:sz w:val="24"/>
              </w:rPr>
              <w:t>全</w:t>
            </w:r>
            <w:r>
              <w:rPr>
                <w:rFonts w:hint="eastAsia" w:ascii="仿宋_GB2312" w:hAnsi="仿宋_GB2312" w:eastAsia="仿宋_GB2312" w:cs="仿宋_GB2312"/>
                <w:spacing w:val="-1"/>
                <w:sz w:val="24"/>
              </w:rPr>
              <w:t>标</w:t>
            </w:r>
            <w:r>
              <w:rPr>
                <w:rFonts w:hint="eastAsia" w:ascii="仿宋_GB2312" w:hAnsi="仿宋_GB2312" w:eastAsia="仿宋_GB2312" w:cs="仿宋_GB2312"/>
                <w:sz w:val="24"/>
              </w:rPr>
              <w:t>志</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88">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89">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8A">
            <w:pPr>
              <w:adjustRightInd w:val="0"/>
              <w:snapToGrid w:val="0"/>
              <w:jc w:val="center"/>
              <w:rPr>
                <w:rFonts w:hint="eastAsia" w:ascii="仿宋_GB2312" w:hAnsi="仿宋_GB2312" w:eastAsia="仿宋_GB2312" w:cs="仿宋_GB2312"/>
                <w:sz w:val="24"/>
              </w:rPr>
            </w:pPr>
          </w:p>
        </w:tc>
      </w:tr>
      <w:tr w14:paraId="0D121991">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8C">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18</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8D">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常</w:t>
            </w:r>
            <w:r>
              <w:rPr>
                <w:rFonts w:hint="eastAsia" w:ascii="仿宋_GB2312" w:hAnsi="仿宋_GB2312" w:eastAsia="仿宋_GB2312" w:cs="仿宋_GB2312"/>
                <w:spacing w:val="-3"/>
                <w:sz w:val="24"/>
              </w:rPr>
              <w:t>用</w:t>
            </w:r>
            <w:r>
              <w:rPr>
                <w:rFonts w:hint="eastAsia" w:ascii="仿宋_GB2312" w:hAnsi="仿宋_GB2312" w:eastAsia="仿宋_GB2312" w:cs="仿宋_GB2312"/>
                <w:spacing w:val="-1"/>
                <w:sz w:val="24"/>
              </w:rPr>
              <w:t>急救</w:t>
            </w:r>
            <w:r>
              <w:rPr>
                <w:rFonts w:hint="eastAsia" w:ascii="仿宋_GB2312" w:hAnsi="仿宋_GB2312" w:eastAsia="仿宋_GB2312" w:cs="仿宋_GB2312"/>
                <w:spacing w:val="-3"/>
                <w:sz w:val="24"/>
              </w:rPr>
              <w:t>药</w:t>
            </w:r>
            <w:r>
              <w:rPr>
                <w:rFonts w:hint="eastAsia" w:ascii="仿宋_GB2312" w:hAnsi="仿宋_GB2312" w:eastAsia="仿宋_GB2312" w:cs="仿宋_GB2312"/>
                <w:sz w:val="24"/>
              </w:rPr>
              <w:t>盒</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8E">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8F">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2</w:t>
            </w:r>
            <w:r>
              <w:rPr>
                <w:rFonts w:hint="eastAsia" w:ascii="仿宋_GB2312" w:hAnsi="仿宋_GB2312" w:eastAsia="仿宋_GB2312" w:cs="仿宋_GB2312"/>
                <w:sz w:val="24"/>
              </w:rPr>
              <w:t>套</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90">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常</w:t>
            </w:r>
            <w:r>
              <w:rPr>
                <w:rFonts w:hint="eastAsia" w:ascii="仿宋_GB2312" w:hAnsi="仿宋_GB2312" w:eastAsia="仿宋_GB2312" w:cs="仿宋_GB2312"/>
                <w:spacing w:val="-3"/>
                <w:sz w:val="24"/>
              </w:rPr>
              <w:t>用</w:t>
            </w:r>
            <w:r>
              <w:rPr>
                <w:rFonts w:hint="eastAsia" w:ascii="仿宋_GB2312" w:hAnsi="仿宋_GB2312" w:eastAsia="仿宋_GB2312" w:cs="仿宋_GB2312"/>
                <w:spacing w:val="-1"/>
                <w:sz w:val="24"/>
              </w:rPr>
              <w:t>药</w:t>
            </w:r>
            <w:r>
              <w:rPr>
                <w:rFonts w:hint="eastAsia" w:ascii="仿宋_GB2312" w:hAnsi="仿宋_GB2312" w:eastAsia="仿宋_GB2312" w:cs="仿宋_GB2312"/>
                <w:sz w:val="24"/>
              </w:rPr>
              <w:t>品</w:t>
            </w:r>
          </w:p>
        </w:tc>
      </w:tr>
      <w:tr w14:paraId="0D121997">
        <w:tblPrEx>
          <w:tblCellMar>
            <w:top w:w="0" w:type="dxa"/>
            <w:left w:w="0" w:type="dxa"/>
            <w:bottom w:w="0" w:type="dxa"/>
            <w:right w:w="0" w:type="dxa"/>
          </w:tblCellMar>
        </w:tblPrEx>
        <w:trPr>
          <w:trHeight w:val="419" w:hRule="exact"/>
        </w:trPr>
        <w:tc>
          <w:tcPr>
            <w:tcW w:w="917" w:type="dxa"/>
            <w:tcBorders>
              <w:top w:val="single" w:color="000000" w:sz="4" w:space="0"/>
              <w:left w:val="single" w:color="000000" w:sz="4" w:space="0"/>
              <w:bottom w:val="single" w:color="000000" w:sz="4" w:space="0"/>
              <w:right w:val="single" w:color="000000" w:sz="4" w:space="0"/>
            </w:tcBorders>
            <w:vAlign w:val="center"/>
          </w:tcPr>
          <w:p w14:paraId="0D121992">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z w:val="24"/>
              </w:rPr>
              <w:t>19</w:t>
            </w:r>
          </w:p>
        </w:tc>
        <w:tc>
          <w:tcPr>
            <w:tcW w:w="2002" w:type="dxa"/>
            <w:tcBorders>
              <w:top w:val="single" w:color="000000" w:sz="4" w:space="0"/>
              <w:left w:val="single" w:color="000000" w:sz="4" w:space="0"/>
              <w:bottom w:val="single" w:color="000000" w:sz="4" w:space="0"/>
              <w:right w:val="single" w:color="000000" w:sz="4" w:space="0"/>
            </w:tcBorders>
            <w:vAlign w:val="center"/>
          </w:tcPr>
          <w:p w14:paraId="0D121993">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灭</w:t>
            </w:r>
            <w:r>
              <w:rPr>
                <w:rFonts w:hint="eastAsia" w:ascii="仿宋_GB2312" w:hAnsi="仿宋_GB2312" w:eastAsia="仿宋_GB2312" w:cs="仿宋_GB2312"/>
                <w:spacing w:val="-3"/>
                <w:sz w:val="24"/>
              </w:rPr>
              <w:t>火</w:t>
            </w:r>
            <w:r>
              <w:rPr>
                <w:rFonts w:hint="eastAsia" w:ascii="仿宋_GB2312" w:hAnsi="仿宋_GB2312" w:eastAsia="仿宋_GB2312" w:cs="仿宋_GB2312"/>
                <w:sz w:val="24"/>
              </w:rPr>
              <w:t>器</w:t>
            </w:r>
          </w:p>
        </w:tc>
        <w:tc>
          <w:tcPr>
            <w:tcW w:w="2771" w:type="dxa"/>
            <w:tcBorders>
              <w:top w:val="single" w:color="000000" w:sz="4" w:space="0"/>
              <w:left w:val="single" w:color="000000" w:sz="4" w:space="0"/>
              <w:bottom w:val="single" w:color="000000" w:sz="4" w:space="0"/>
              <w:right w:val="single" w:color="000000" w:sz="4" w:space="0"/>
            </w:tcBorders>
            <w:vAlign w:val="center"/>
          </w:tcPr>
          <w:p w14:paraId="0D121994">
            <w:pPr>
              <w:adjustRightInd w:val="0"/>
              <w:snapToGrid w:val="0"/>
              <w:jc w:val="center"/>
              <w:rPr>
                <w:rFonts w:hint="eastAsia" w:ascii="仿宋_GB2312" w:hAnsi="仿宋_GB2312" w:eastAsia="仿宋_GB2312" w:cs="仿宋_GB2312"/>
                <w:spacing w:val="-1"/>
                <w:sz w:val="24"/>
              </w:rPr>
            </w:pPr>
          </w:p>
        </w:tc>
        <w:tc>
          <w:tcPr>
            <w:tcW w:w="970" w:type="dxa"/>
            <w:tcBorders>
              <w:top w:val="single" w:color="000000" w:sz="4" w:space="0"/>
              <w:left w:val="single" w:color="000000" w:sz="4" w:space="0"/>
              <w:bottom w:val="single" w:color="000000" w:sz="4" w:space="0"/>
              <w:right w:val="single" w:color="000000" w:sz="4" w:space="0"/>
            </w:tcBorders>
            <w:vAlign w:val="center"/>
          </w:tcPr>
          <w:p w14:paraId="0D121995">
            <w:pPr>
              <w:adjustRightInd w:val="0"/>
              <w:snapToGrid w:val="0"/>
              <w:jc w:val="center"/>
              <w:rPr>
                <w:rFonts w:hint="eastAsia" w:ascii="仿宋_GB2312" w:hAnsi="仿宋_GB2312" w:eastAsia="仿宋_GB2312" w:cs="仿宋_GB2312"/>
                <w:spacing w:val="-1"/>
                <w:sz w:val="24"/>
              </w:rPr>
            </w:pPr>
            <w:r>
              <w:rPr>
                <w:rFonts w:hint="eastAsia" w:ascii="仿宋_GB2312" w:hAnsi="仿宋_GB2312" w:eastAsia="仿宋_GB2312" w:cs="仿宋_GB2312"/>
                <w:spacing w:val="-1"/>
                <w:sz w:val="24"/>
              </w:rPr>
              <w:t>若</w:t>
            </w:r>
            <w:r>
              <w:rPr>
                <w:rFonts w:hint="eastAsia" w:ascii="仿宋_GB2312" w:hAnsi="仿宋_GB2312" w:eastAsia="仿宋_GB2312" w:cs="仿宋_GB2312"/>
                <w:sz w:val="24"/>
              </w:rPr>
              <w:t>干</w:t>
            </w:r>
          </w:p>
        </w:tc>
        <w:tc>
          <w:tcPr>
            <w:tcW w:w="2348" w:type="dxa"/>
            <w:tcBorders>
              <w:top w:val="single" w:color="000000" w:sz="4" w:space="0"/>
              <w:left w:val="single" w:color="000000" w:sz="4" w:space="0"/>
              <w:bottom w:val="single" w:color="000000" w:sz="4" w:space="0"/>
              <w:right w:val="single" w:color="000000" w:sz="4" w:space="0"/>
            </w:tcBorders>
            <w:vAlign w:val="center"/>
          </w:tcPr>
          <w:p w14:paraId="0D121996">
            <w:pPr>
              <w:adjustRightInd w:val="0"/>
              <w:snapToGrid w:val="0"/>
              <w:jc w:val="center"/>
              <w:rPr>
                <w:rFonts w:hint="eastAsia" w:ascii="仿宋_GB2312" w:hAnsi="仿宋_GB2312" w:eastAsia="仿宋_GB2312" w:cs="仿宋_GB2312"/>
                <w:sz w:val="24"/>
              </w:rPr>
            </w:pPr>
            <w:r>
              <w:rPr>
                <w:rFonts w:hint="eastAsia" w:ascii="仿宋_GB2312" w:hAnsi="仿宋_GB2312" w:eastAsia="仿宋_GB2312" w:cs="仿宋_GB2312"/>
                <w:spacing w:val="-1"/>
                <w:sz w:val="24"/>
              </w:rPr>
              <w:t>根</w:t>
            </w:r>
            <w:r>
              <w:rPr>
                <w:rFonts w:hint="eastAsia" w:ascii="仿宋_GB2312" w:hAnsi="仿宋_GB2312" w:eastAsia="仿宋_GB2312" w:cs="仿宋_GB2312"/>
                <w:spacing w:val="-3"/>
                <w:sz w:val="24"/>
              </w:rPr>
              <w:t>据</w:t>
            </w:r>
            <w:r>
              <w:rPr>
                <w:rFonts w:hint="eastAsia" w:ascii="仿宋_GB2312" w:hAnsi="仿宋_GB2312" w:eastAsia="仿宋_GB2312" w:cs="仿宋_GB2312"/>
                <w:spacing w:val="-1"/>
                <w:sz w:val="24"/>
              </w:rPr>
              <w:t>赛场</w:t>
            </w:r>
            <w:r>
              <w:rPr>
                <w:rFonts w:hint="eastAsia" w:ascii="仿宋_GB2312" w:hAnsi="仿宋_GB2312" w:eastAsia="仿宋_GB2312" w:cs="仿宋_GB2312"/>
                <w:spacing w:val="-3"/>
                <w:sz w:val="24"/>
              </w:rPr>
              <w:t>布</w:t>
            </w:r>
            <w:r>
              <w:rPr>
                <w:rFonts w:hint="eastAsia" w:ascii="仿宋_GB2312" w:hAnsi="仿宋_GB2312" w:eastAsia="仿宋_GB2312" w:cs="仿宋_GB2312"/>
                <w:sz w:val="24"/>
              </w:rPr>
              <w:t>置</w:t>
            </w:r>
          </w:p>
        </w:tc>
      </w:tr>
    </w:tbl>
    <w:p w14:paraId="0D121998">
      <w:pPr>
        <w:adjustRightInd w:val="0"/>
        <w:snapToGrid w:val="0"/>
        <w:spacing w:line="360" w:lineRule="auto"/>
        <w:jc w:val="center"/>
        <w:rPr>
          <w:rFonts w:ascii="Times New Roman" w:hAnsi="Times New Roman"/>
          <w:sz w:val="24"/>
          <w:szCs w:val="32"/>
        </w:rPr>
      </w:pPr>
      <w:r>
        <w:rPr>
          <w:rFonts w:hint="eastAsia" w:ascii="仿宋_GB2312" w:hAnsi="仿宋_GB2312" w:eastAsia="仿宋_GB2312" w:cs="仿宋_GB2312"/>
          <w:sz w:val="24"/>
          <w:szCs w:val="22"/>
        </w:rPr>
        <w:t>表3辅助设施清单</w:t>
      </w:r>
    </w:p>
    <w:p w14:paraId="0D121999">
      <w:pPr>
        <w:keepNext/>
        <w:keepLines/>
        <w:adjustRightInd w:val="0"/>
        <w:snapToGrid w:val="0"/>
        <w:spacing w:line="360" w:lineRule="auto"/>
        <w:ind w:firstLine="640" w:firstLineChars="200"/>
        <w:outlineLvl w:val="1"/>
        <w:rPr>
          <w:rFonts w:hint="eastAsia" w:ascii="黑体" w:hAnsi="黑体" w:eastAsia="黑体" w:cs="黑体"/>
          <w:bCs/>
          <w:sz w:val="32"/>
          <w:szCs w:val="32"/>
        </w:rPr>
      </w:pPr>
      <w:bookmarkStart w:id="19" w:name="_Toc214452775"/>
      <w:r>
        <w:rPr>
          <w:rFonts w:hint="eastAsia" w:ascii="黑体" w:hAnsi="黑体" w:eastAsia="黑体" w:cs="黑体"/>
          <w:bCs/>
          <w:sz w:val="32"/>
          <w:szCs w:val="32"/>
        </w:rPr>
        <w:t>4、工具仪器</w:t>
      </w:r>
      <w:bookmarkEnd w:id="19"/>
    </w:p>
    <w:p w14:paraId="0D12199A">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工具、仪器仪表及安全帽由竞赛统一提供 ，选手自带绝缘防滑鞋参赛。</w:t>
      </w:r>
      <w:bookmarkStart w:id="20" w:name="_Toc214452776"/>
    </w:p>
    <w:p w14:paraId="0D12199B">
      <w:pPr>
        <w:adjustRightInd w:val="0"/>
        <w:snapToGrid w:val="0"/>
        <w:spacing w:line="360" w:lineRule="auto"/>
        <w:ind w:firstLine="640" w:firstLineChars="200"/>
        <w:rPr>
          <w:rFonts w:hint="eastAsia" w:ascii="黑体" w:hAnsi="黑体" w:eastAsia="黑体" w:cs="黑体"/>
          <w:bCs/>
          <w:sz w:val="32"/>
          <w:szCs w:val="32"/>
        </w:rPr>
      </w:pPr>
      <w:r>
        <w:rPr>
          <w:rFonts w:hint="eastAsia" w:ascii="黑体" w:hAnsi="黑体" w:eastAsia="黑体" w:cs="黑体"/>
          <w:bCs/>
          <w:sz w:val="32"/>
          <w:szCs w:val="32"/>
        </w:rPr>
        <w:t>5、竞赛用耗材</w:t>
      </w:r>
      <w:bookmarkEnd w:id="20"/>
    </w:p>
    <w:p w14:paraId="0D12199C">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根据竞赛需要，赛场提供如下耗材，见表4。</w:t>
      </w:r>
    </w:p>
    <w:p w14:paraId="0D12199D">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表4赛场提供的耗材清单</w:t>
      </w:r>
    </w:p>
    <w:tbl>
      <w:tblPr>
        <w:tblStyle w:val="7"/>
        <w:tblW w:w="8005" w:type="dxa"/>
        <w:jc w:val="center"/>
        <w:tblLayout w:type="fixed"/>
        <w:tblCellMar>
          <w:top w:w="0" w:type="dxa"/>
          <w:left w:w="0" w:type="dxa"/>
          <w:bottom w:w="0" w:type="dxa"/>
          <w:right w:w="0" w:type="dxa"/>
        </w:tblCellMar>
      </w:tblPr>
      <w:tblGrid>
        <w:gridCol w:w="678"/>
        <w:gridCol w:w="1368"/>
        <w:gridCol w:w="3814"/>
        <w:gridCol w:w="851"/>
        <w:gridCol w:w="1294"/>
      </w:tblGrid>
      <w:tr w14:paraId="0D1219A3">
        <w:tblPrEx>
          <w:tblCellMar>
            <w:top w:w="0" w:type="dxa"/>
            <w:left w:w="0" w:type="dxa"/>
            <w:bottom w:w="0" w:type="dxa"/>
            <w:right w:w="0" w:type="dxa"/>
          </w:tblCellMar>
        </w:tblPrEx>
        <w:trPr>
          <w:trHeight w:val="452" w:hRule="exact"/>
          <w:jc w:val="center"/>
        </w:trPr>
        <w:tc>
          <w:tcPr>
            <w:tcW w:w="678" w:type="dxa"/>
            <w:tcBorders>
              <w:top w:val="single" w:color="000000" w:sz="4" w:space="0"/>
              <w:left w:val="single" w:color="000000" w:sz="4" w:space="0"/>
              <w:bottom w:val="single" w:color="000000" w:sz="4" w:space="0"/>
              <w:right w:val="single" w:color="000000" w:sz="4" w:space="0"/>
            </w:tcBorders>
            <w:vAlign w:val="center"/>
          </w:tcPr>
          <w:p w14:paraId="0D12199E">
            <w:pPr>
              <w:spacing w:before="7" w:line="360" w:lineRule="auto"/>
              <w:ind w:left="115"/>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序</w:t>
            </w:r>
            <w:r>
              <w:rPr>
                <w:rFonts w:hint="eastAsia" w:ascii="仿宋_GB2312" w:hAnsi="仿宋_GB2312" w:eastAsia="仿宋_GB2312" w:cs="仿宋_GB2312"/>
                <w:sz w:val="22"/>
                <w:szCs w:val="22"/>
              </w:rPr>
              <w:t>号</w:t>
            </w:r>
          </w:p>
        </w:tc>
        <w:tc>
          <w:tcPr>
            <w:tcW w:w="1368" w:type="dxa"/>
            <w:tcBorders>
              <w:top w:val="single" w:color="000000" w:sz="4" w:space="0"/>
              <w:left w:val="single" w:color="000000" w:sz="4" w:space="0"/>
              <w:bottom w:val="single" w:color="000000" w:sz="4" w:space="0"/>
              <w:right w:val="single" w:color="000000" w:sz="4" w:space="0"/>
            </w:tcBorders>
            <w:vAlign w:val="center"/>
          </w:tcPr>
          <w:p w14:paraId="0D12199F">
            <w:pPr>
              <w:spacing w:before="7" w:line="360" w:lineRule="auto"/>
              <w:ind w:left="441" w:right="439"/>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名</w:t>
            </w:r>
            <w:r>
              <w:rPr>
                <w:rFonts w:hint="eastAsia" w:ascii="仿宋_GB2312" w:hAnsi="仿宋_GB2312" w:eastAsia="仿宋_GB2312" w:cs="仿宋_GB2312"/>
                <w:sz w:val="22"/>
                <w:szCs w:val="22"/>
              </w:rPr>
              <w:t>称</w:t>
            </w:r>
          </w:p>
        </w:tc>
        <w:tc>
          <w:tcPr>
            <w:tcW w:w="3814" w:type="dxa"/>
            <w:tcBorders>
              <w:top w:val="single" w:color="000000" w:sz="4" w:space="0"/>
              <w:left w:val="single" w:color="000000" w:sz="4" w:space="0"/>
              <w:bottom w:val="single" w:color="000000" w:sz="4" w:space="0"/>
              <w:right w:val="single" w:color="000000" w:sz="4" w:space="0"/>
            </w:tcBorders>
            <w:vAlign w:val="center"/>
          </w:tcPr>
          <w:p w14:paraId="0D1219A0">
            <w:pPr>
              <w:spacing w:before="7" w:line="360" w:lineRule="auto"/>
              <w:ind w:left="1535" w:right="1534"/>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说</w:t>
            </w:r>
            <w:r>
              <w:rPr>
                <w:rFonts w:hint="eastAsia" w:ascii="仿宋_GB2312" w:hAnsi="仿宋_GB2312" w:eastAsia="仿宋_GB2312" w:cs="仿宋_GB2312"/>
                <w:sz w:val="22"/>
                <w:szCs w:val="22"/>
              </w:rPr>
              <w:t>明</w:t>
            </w:r>
          </w:p>
        </w:tc>
        <w:tc>
          <w:tcPr>
            <w:tcW w:w="851" w:type="dxa"/>
            <w:tcBorders>
              <w:top w:val="single" w:color="000000" w:sz="4" w:space="0"/>
              <w:left w:val="single" w:color="000000" w:sz="4" w:space="0"/>
              <w:bottom w:val="single" w:color="000000" w:sz="4" w:space="0"/>
              <w:right w:val="single" w:color="000000" w:sz="4" w:space="0"/>
            </w:tcBorders>
            <w:vAlign w:val="center"/>
          </w:tcPr>
          <w:p w14:paraId="0D1219A1">
            <w:pPr>
              <w:spacing w:before="7" w:line="360" w:lineRule="auto"/>
              <w:ind w:left="175"/>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数</w:t>
            </w:r>
            <w:r>
              <w:rPr>
                <w:rFonts w:hint="eastAsia" w:ascii="仿宋_GB2312" w:hAnsi="仿宋_GB2312" w:eastAsia="仿宋_GB2312" w:cs="仿宋_GB2312"/>
                <w:sz w:val="22"/>
                <w:szCs w:val="22"/>
              </w:rPr>
              <w:t>量</w:t>
            </w:r>
          </w:p>
        </w:tc>
        <w:tc>
          <w:tcPr>
            <w:tcW w:w="1294" w:type="dxa"/>
            <w:tcBorders>
              <w:top w:val="single" w:color="000000" w:sz="4" w:space="0"/>
              <w:left w:val="single" w:color="000000" w:sz="4" w:space="0"/>
              <w:bottom w:val="single" w:color="000000" w:sz="4" w:space="0"/>
              <w:right w:val="single" w:color="000000" w:sz="4" w:space="0"/>
            </w:tcBorders>
            <w:vAlign w:val="center"/>
          </w:tcPr>
          <w:p w14:paraId="0D1219A2">
            <w:pPr>
              <w:spacing w:before="7" w:line="360" w:lineRule="auto"/>
              <w:ind w:left="1"/>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备</w:t>
            </w:r>
            <w:r>
              <w:rPr>
                <w:rFonts w:hint="eastAsia" w:ascii="仿宋_GB2312" w:hAnsi="仿宋_GB2312" w:eastAsia="仿宋_GB2312" w:cs="仿宋_GB2312"/>
                <w:sz w:val="22"/>
                <w:szCs w:val="22"/>
              </w:rPr>
              <w:t>注</w:t>
            </w:r>
          </w:p>
        </w:tc>
      </w:tr>
      <w:tr w14:paraId="0D1219A9">
        <w:tblPrEx>
          <w:tblCellMar>
            <w:top w:w="0" w:type="dxa"/>
            <w:left w:w="0" w:type="dxa"/>
            <w:bottom w:w="0" w:type="dxa"/>
            <w:right w:w="0" w:type="dxa"/>
          </w:tblCellMar>
        </w:tblPrEx>
        <w:trPr>
          <w:trHeight w:val="460" w:hRule="exact"/>
          <w:jc w:val="center"/>
        </w:trPr>
        <w:tc>
          <w:tcPr>
            <w:tcW w:w="678" w:type="dxa"/>
            <w:tcBorders>
              <w:top w:val="single" w:color="000000" w:sz="4" w:space="0"/>
              <w:left w:val="single" w:color="000000" w:sz="4" w:space="0"/>
              <w:bottom w:val="single" w:color="000000" w:sz="4" w:space="0"/>
              <w:right w:val="single" w:color="000000" w:sz="4" w:space="0"/>
            </w:tcBorders>
            <w:vAlign w:val="center"/>
          </w:tcPr>
          <w:p w14:paraId="0D1219A4">
            <w:pPr>
              <w:spacing w:before="11" w:line="360" w:lineRule="auto"/>
              <w:ind w:left="259" w:right="26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w:t>
            </w:r>
          </w:p>
        </w:tc>
        <w:tc>
          <w:tcPr>
            <w:tcW w:w="1368" w:type="dxa"/>
            <w:tcBorders>
              <w:top w:val="single" w:color="000000" w:sz="4" w:space="0"/>
              <w:left w:val="single" w:color="000000" w:sz="4" w:space="0"/>
              <w:bottom w:val="single" w:color="000000" w:sz="4" w:space="0"/>
              <w:right w:val="single" w:color="000000" w:sz="4" w:space="0"/>
            </w:tcBorders>
            <w:vAlign w:val="center"/>
          </w:tcPr>
          <w:p w14:paraId="0D1219A5">
            <w:pPr>
              <w:spacing w:before="11" w:line="360" w:lineRule="auto"/>
              <w:ind w:left="441" w:right="439"/>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导</w:t>
            </w:r>
            <w:r>
              <w:rPr>
                <w:rFonts w:hint="eastAsia" w:ascii="仿宋_GB2312" w:hAnsi="仿宋_GB2312" w:eastAsia="仿宋_GB2312" w:cs="仿宋_GB2312"/>
                <w:sz w:val="22"/>
                <w:szCs w:val="22"/>
              </w:rPr>
              <w:t>线</w:t>
            </w:r>
          </w:p>
        </w:tc>
        <w:tc>
          <w:tcPr>
            <w:tcW w:w="3814" w:type="dxa"/>
            <w:tcBorders>
              <w:top w:val="single" w:color="000000" w:sz="4" w:space="0"/>
              <w:left w:val="single" w:color="000000" w:sz="4" w:space="0"/>
              <w:bottom w:val="single" w:color="000000" w:sz="4" w:space="0"/>
              <w:right w:val="single" w:color="000000" w:sz="4" w:space="0"/>
            </w:tcBorders>
            <w:vAlign w:val="center"/>
          </w:tcPr>
          <w:p w14:paraId="0D1219A6">
            <w:pPr>
              <w:spacing w:before="11" w:line="360" w:lineRule="auto"/>
              <w:ind w:left="197"/>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单</w:t>
            </w:r>
            <w:r>
              <w:rPr>
                <w:rFonts w:hint="eastAsia" w:ascii="仿宋_GB2312" w:hAnsi="仿宋_GB2312" w:eastAsia="仿宋_GB2312" w:cs="仿宋_GB2312"/>
                <w:spacing w:val="-3"/>
                <w:sz w:val="22"/>
                <w:szCs w:val="22"/>
              </w:rPr>
              <w:t>根</w:t>
            </w:r>
            <w:r>
              <w:rPr>
                <w:rFonts w:hint="eastAsia" w:ascii="仿宋_GB2312" w:hAnsi="仿宋_GB2312" w:eastAsia="仿宋_GB2312" w:cs="仿宋_GB2312"/>
                <w:spacing w:val="-1"/>
                <w:sz w:val="22"/>
                <w:szCs w:val="22"/>
              </w:rPr>
              <w:t>多</w:t>
            </w:r>
            <w:r>
              <w:rPr>
                <w:rFonts w:hint="eastAsia" w:ascii="仿宋_GB2312" w:hAnsi="仿宋_GB2312" w:eastAsia="仿宋_GB2312" w:cs="仿宋_GB2312"/>
                <w:spacing w:val="-3"/>
                <w:sz w:val="22"/>
                <w:szCs w:val="22"/>
              </w:rPr>
              <w:t>股</w:t>
            </w:r>
            <w:r>
              <w:rPr>
                <w:rFonts w:hint="eastAsia" w:ascii="仿宋_GB2312" w:hAnsi="仿宋_GB2312" w:eastAsia="仿宋_GB2312" w:cs="仿宋_GB2312"/>
                <w:spacing w:val="-1"/>
                <w:sz w:val="22"/>
                <w:szCs w:val="22"/>
              </w:rPr>
              <w:t>/铜芯/0.</w:t>
            </w:r>
            <w:r>
              <w:rPr>
                <w:rFonts w:hint="eastAsia" w:ascii="仿宋_GB2312" w:hAnsi="仿宋_GB2312" w:eastAsia="仿宋_GB2312" w:cs="仿宋_GB2312"/>
                <w:spacing w:val="-3"/>
                <w:sz w:val="22"/>
                <w:szCs w:val="22"/>
              </w:rPr>
              <w:t>5</w:t>
            </w:r>
            <w:r>
              <w:rPr>
                <w:rFonts w:hint="eastAsia" w:ascii="仿宋_GB2312" w:hAnsi="仿宋_GB2312" w:eastAsia="仿宋_GB2312" w:cs="仿宋_GB2312"/>
                <w:spacing w:val="-1"/>
                <w:sz w:val="22"/>
                <w:szCs w:val="22"/>
              </w:rPr>
              <w:t>、0.7</w:t>
            </w:r>
            <w:r>
              <w:rPr>
                <w:rFonts w:hint="eastAsia" w:ascii="仿宋_GB2312" w:hAnsi="仿宋_GB2312" w:eastAsia="仿宋_GB2312" w:cs="仿宋_GB2312"/>
                <w:spacing w:val="-3"/>
                <w:sz w:val="22"/>
                <w:szCs w:val="22"/>
              </w:rPr>
              <w:t>5</w:t>
            </w:r>
            <w:r>
              <w:rPr>
                <w:rFonts w:hint="eastAsia" w:ascii="仿宋_GB2312" w:hAnsi="仿宋_GB2312" w:eastAsia="仿宋_GB2312" w:cs="仿宋_GB2312"/>
                <w:spacing w:val="-1"/>
                <w:sz w:val="22"/>
                <w:szCs w:val="22"/>
              </w:rPr>
              <w:t>、1m</w:t>
            </w:r>
            <w:r>
              <w:rPr>
                <w:rFonts w:hint="eastAsia" w:ascii="仿宋_GB2312" w:hAnsi="仿宋_GB2312" w:eastAsia="仿宋_GB2312" w:cs="仿宋_GB2312"/>
                <w:spacing w:val="-3"/>
                <w:sz w:val="22"/>
                <w:szCs w:val="22"/>
              </w:rPr>
              <w:t>m</w:t>
            </w:r>
            <w:r>
              <w:rPr>
                <w:rFonts w:hint="eastAsia" w:ascii="仿宋_GB2312" w:hAnsi="仿宋_GB2312" w:eastAsia="仿宋_GB2312" w:cs="仿宋_GB2312"/>
                <w:sz w:val="22"/>
                <w:szCs w:val="22"/>
              </w:rPr>
              <w:t>²</w:t>
            </w:r>
          </w:p>
        </w:tc>
        <w:tc>
          <w:tcPr>
            <w:tcW w:w="851" w:type="dxa"/>
            <w:tcBorders>
              <w:top w:val="single" w:color="000000" w:sz="4" w:space="0"/>
              <w:left w:val="single" w:color="000000" w:sz="4" w:space="0"/>
              <w:bottom w:val="single" w:color="000000" w:sz="4" w:space="0"/>
              <w:right w:val="single" w:color="000000" w:sz="4" w:space="0"/>
            </w:tcBorders>
            <w:vAlign w:val="center"/>
          </w:tcPr>
          <w:p w14:paraId="0D1219A7">
            <w:pPr>
              <w:spacing w:before="11" w:line="360" w:lineRule="auto"/>
              <w:ind w:left="175"/>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若</w:t>
            </w:r>
            <w:r>
              <w:rPr>
                <w:rFonts w:hint="eastAsia" w:ascii="仿宋_GB2312" w:hAnsi="仿宋_GB2312" w:eastAsia="仿宋_GB2312" w:cs="仿宋_GB2312"/>
                <w:sz w:val="22"/>
                <w:szCs w:val="22"/>
              </w:rPr>
              <w:t>干</w:t>
            </w:r>
          </w:p>
        </w:tc>
        <w:tc>
          <w:tcPr>
            <w:tcW w:w="1294" w:type="dxa"/>
            <w:tcBorders>
              <w:top w:val="single" w:color="000000" w:sz="4" w:space="0"/>
              <w:left w:val="single" w:color="000000" w:sz="4" w:space="0"/>
              <w:bottom w:val="single" w:color="000000" w:sz="4" w:space="0"/>
              <w:right w:val="single" w:color="000000" w:sz="4" w:space="0"/>
            </w:tcBorders>
            <w:vAlign w:val="center"/>
          </w:tcPr>
          <w:p w14:paraId="0D1219A8">
            <w:pPr>
              <w:spacing w:line="360" w:lineRule="auto"/>
              <w:rPr>
                <w:rFonts w:hint="eastAsia" w:ascii="仿宋_GB2312" w:hAnsi="仿宋_GB2312" w:eastAsia="仿宋_GB2312" w:cs="仿宋_GB2312"/>
                <w:sz w:val="22"/>
                <w:szCs w:val="22"/>
              </w:rPr>
            </w:pPr>
          </w:p>
        </w:tc>
      </w:tr>
      <w:tr w14:paraId="0D1219AF">
        <w:tblPrEx>
          <w:tblCellMar>
            <w:top w:w="0" w:type="dxa"/>
            <w:left w:w="0" w:type="dxa"/>
            <w:bottom w:w="0" w:type="dxa"/>
            <w:right w:w="0" w:type="dxa"/>
          </w:tblCellMar>
        </w:tblPrEx>
        <w:trPr>
          <w:trHeight w:val="452" w:hRule="exact"/>
          <w:jc w:val="center"/>
        </w:trPr>
        <w:tc>
          <w:tcPr>
            <w:tcW w:w="678" w:type="dxa"/>
            <w:tcBorders>
              <w:top w:val="single" w:color="000000" w:sz="4" w:space="0"/>
              <w:left w:val="single" w:color="000000" w:sz="4" w:space="0"/>
              <w:bottom w:val="single" w:color="000000" w:sz="4" w:space="0"/>
              <w:right w:val="single" w:color="000000" w:sz="4" w:space="0"/>
            </w:tcBorders>
            <w:vAlign w:val="center"/>
          </w:tcPr>
          <w:p w14:paraId="0D1219AA">
            <w:pPr>
              <w:spacing w:before="7" w:line="360" w:lineRule="auto"/>
              <w:ind w:left="259" w:right="26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2</w:t>
            </w:r>
          </w:p>
        </w:tc>
        <w:tc>
          <w:tcPr>
            <w:tcW w:w="1368" w:type="dxa"/>
            <w:tcBorders>
              <w:top w:val="single" w:color="000000" w:sz="4" w:space="0"/>
              <w:left w:val="single" w:color="000000" w:sz="4" w:space="0"/>
              <w:bottom w:val="single" w:color="000000" w:sz="4" w:space="0"/>
              <w:right w:val="single" w:color="000000" w:sz="4" w:space="0"/>
            </w:tcBorders>
            <w:vAlign w:val="center"/>
          </w:tcPr>
          <w:p w14:paraId="0D1219AB">
            <w:pPr>
              <w:spacing w:before="7" w:line="360" w:lineRule="auto"/>
              <w:ind w:left="441" w:right="439"/>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气</w:t>
            </w:r>
            <w:r>
              <w:rPr>
                <w:rFonts w:hint="eastAsia" w:ascii="仿宋_GB2312" w:hAnsi="仿宋_GB2312" w:eastAsia="仿宋_GB2312" w:cs="仿宋_GB2312"/>
                <w:sz w:val="22"/>
                <w:szCs w:val="22"/>
              </w:rPr>
              <w:t>管</w:t>
            </w:r>
          </w:p>
        </w:tc>
        <w:tc>
          <w:tcPr>
            <w:tcW w:w="3814" w:type="dxa"/>
            <w:tcBorders>
              <w:top w:val="single" w:color="000000" w:sz="4" w:space="0"/>
              <w:left w:val="single" w:color="000000" w:sz="4" w:space="0"/>
              <w:bottom w:val="single" w:color="000000" w:sz="4" w:space="0"/>
              <w:right w:val="single" w:color="000000" w:sz="4" w:space="0"/>
            </w:tcBorders>
            <w:vAlign w:val="center"/>
          </w:tcPr>
          <w:p w14:paraId="0D1219AC">
            <w:pPr>
              <w:spacing w:before="7" w:line="360" w:lineRule="auto"/>
              <w:ind w:left="1059"/>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直</w:t>
            </w:r>
            <w:r>
              <w:rPr>
                <w:rFonts w:hint="eastAsia" w:ascii="仿宋_GB2312" w:hAnsi="仿宋_GB2312" w:eastAsia="仿宋_GB2312" w:cs="仿宋_GB2312"/>
                <w:spacing w:val="-3"/>
                <w:sz w:val="22"/>
                <w:szCs w:val="22"/>
              </w:rPr>
              <w:t>径</w:t>
            </w:r>
            <w:r>
              <w:rPr>
                <w:rFonts w:hint="eastAsia" w:ascii="仿宋_GB2312" w:hAnsi="仿宋_GB2312" w:eastAsia="仿宋_GB2312" w:cs="仿宋_GB2312"/>
                <w:spacing w:val="-1"/>
                <w:sz w:val="22"/>
                <w:szCs w:val="22"/>
              </w:rPr>
              <w:t>8、6</w:t>
            </w:r>
            <w:r>
              <w:rPr>
                <w:rFonts w:hint="eastAsia" w:ascii="仿宋_GB2312" w:hAnsi="仿宋_GB2312" w:eastAsia="仿宋_GB2312" w:cs="仿宋_GB2312"/>
                <w:spacing w:val="-3"/>
                <w:sz w:val="22"/>
                <w:szCs w:val="22"/>
              </w:rPr>
              <w:t>、</w:t>
            </w:r>
            <w:r>
              <w:rPr>
                <w:rFonts w:hint="eastAsia" w:ascii="仿宋_GB2312" w:hAnsi="仿宋_GB2312" w:eastAsia="仿宋_GB2312" w:cs="仿宋_GB2312"/>
                <w:spacing w:val="-1"/>
                <w:sz w:val="22"/>
                <w:szCs w:val="22"/>
              </w:rPr>
              <w:t>4m</w:t>
            </w:r>
            <w:r>
              <w:rPr>
                <w:rFonts w:hint="eastAsia" w:ascii="仿宋_GB2312" w:hAnsi="仿宋_GB2312" w:eastAsia="仿宋_GB2312" w:cs="仿宋_GB2312"/>
                <w:sz w:val="22"/>
                <w:szCs w:val="22"/>
              </w:rPr>
              <w:t>m</w:t>
            </w:r>
          </w:p>
        </w:tc>
        <w:tc>
          <w:tcPr>
            <w:tcW w:w="851" w:type="dxa"/>
            <w:tcBorders>
              <w:top w:val="single" w:color="000000" w:sz="4" w:space="0"/>
              <w:left w:val="single" w:color="000000" w:sz="4" w:space="0"/>
              <w:bottom w:val="single" w:color="000000" w:sz="4" w:space="0"/>
              <w:right w:val="single" w:color="000000" w:sz="4" w:space="0"/>
            </w:tcBorders>
            <w:vAlign w:val="center"/>
          </w:tcPr>
          <w:p w14:paraId="0D1219AD">
            <w:pPr>
              <w:spacing w:before="7" w:line="360" w:lineRule="auto"/>
              <w:ind w:left="175"/>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若</w:t>
            </w:r>
            <w:r>
              <w:rPr>
                <w:rFonts w:hint="eastAsia" w:ascii="仿宋_GB2312" w:hAnsi="仿宋_GB2312" w:eastAsia="仿宋_GB2312" w:cs="仿宋_GB2312"/>
                <w:sz w:val="22"/>
                <w:szCs w:val="22"/>
              </w:rPr>
              <w:t>干</w:t>
            </w:r>
          </w:p>
        </w:tc>
        <w:tc>
          <w:tcPr>
            <w:tcW w:w="1294" w:type="dxa"/>
            <w:tcBorders>
              <w:top w:val="single" w:color="000000" w:sz="4" w:space="0"/>
              <w:left w:val="single" w:color="000000" w:sz="4" w:space="0"/>
              <w:bottom w:val="single" w:color="000000" w:sz="4" w:space="0"/>
              <w:right w:val="single" w:color="000000" w:sz="4" w:space="0"/>
            </w:tcBorders>
            <w:vAlign w:val="center"/>
          </w:tcPr>
          <w:p w14:paraId="0D1219AE">
            <w:pPr>
              <w:spacing w:line="360" w:lineRule="auto"/>
              <w:rPr>
                <w:rFonts w:hint="eastAsia" w:ascii="仿宋_GB2312" w:hAnsi="仿宋_GB2312" w:eastAsia="仿宋_GB2312" w:cs="仿宋_GB2312"/>
                <w:sz w:val="22"/>
                <w:szCs w:val="22"/>
              </w:rPr>
            </w:pPr>
          </w:p>
        </w:tc>
      </w:tr>
      <w:tr w14:paraId="0D1219B5">
        <w:tblPrEx>
          <w:tblCellMar>
            <w:top w:w="0" w:type="dxa"/>
            <w:left w:w="0" w:type="dxa"/>
            <w:bottom w:w="0" w:type="dxa"/>
            <w:right w:w="0" w:type="dxa"/>
          </w:tblCellMar>
        </w:tblPrEx>
        <w:trPr>
          <w:trHeight w:val="460" w:hRule="exact"/>
          <w:jc w:val="center"/>
        </w:trPr>
        <w:tc>
          <w:tcPr>
            <w:tcW w:w="678" w:type="dxa"/>
            <w:tcBorders>
              <w:top w:val="single" w:color="000000" w:sz="4" w:space="0"/>
              <w:left w:val="single" w:color="000000" w:sz="4" w:space="0"/>
              <w:bottom w:val="single" w:color="000000" w:sz="4" w:space="0"/>
              <w:right w:val="single" w:color="000000" w:sz="4" w:space="0"/>
            </w:tcBorders>
            <w:vAlign w:val="center"/>
          </w:tcPr>
          <w:p w14:paraId="0D1219B0">
            <w:pPr>
              <w:spacing w:before="11" w:line="360" w:lineRule="auto"/>
              <w:ind w:left="259" w:right="26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3</w:t>
            </w:r>
          </w:p>
        </w:tc>
        <w:tc>
          <w:tcPr>
            <w:tcW w:w="1368" w:type="dxa"/>
            <w:tcBorders>
              <w:top w:val="single" w:color="000000" w:sz="4" w:space="0"/>
              <w:left w:val="single" w:color="000000" w:sz="4" w:space="0"/>
              <w:bottom w:val="single" w:color="000000" w:sz="4" w:space="0"/>
              <w:right w:val="single" w:color="000000" w:sz="4" w:space="0"/>
            </w:tcBorders>
            <w:vAlign w:val="center"/>
          </w:tcPr>
          <w:p w14:paraId="0D1219B1">
            <w:pPr>
              <w:spacing w:before="11" w:line="360" w:lineRule="auto"/>
              <w:ind w:left="441" w:right="439"/>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扎</w:t>
            </w:r>
            <w:r>
              <w:rPr>
                <w:rFonts w:hint="eastAsia" w:ascii="仿宋_GB2312" w:hAnsi="仿宋_GB2312" w:eastAsia="仿宋_GB2312" w:cs="仿宋_GB2312"/>
                <w:sz w:val="22"/>
                <w:szCs w:val="22"/>
              </w:rPr>
              <w:t>带</w:t>
            </w:r>
          </w:p>
        </w:tc>
        <w:tc>
          <w:tcPr>
            <w:tcW w:w="3814" w:type="dxa"/>
            <w:tcBorders>
              <w:top w:val="single" w:color="000000" w:sz="4" w:space="0"/>
              <w:left w:val="single" w:color="000000" w:sz="4" w:space="0"/>
              <w:bottom w:val="single" w:color="000000" w:sz="4" w:space="0"/>
              <w:right w:val="single" w:color="000000" w:sz="4" w:space="0"/>
            </w:tcBorders>
            <w:vAlign w:val="center"/>
          </w:tcPr>
          <w:p w14:paraId="0D1219B2">
            <w:pPr>
              <w:spacing w:before="11" w:line="360" w:lineRule="auto"/>
              <w:ind w:right="1"/>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2.5-1</w:t>
            </w:r>
            <w:r>
              <w:rPr>
                <w:rFonts w:hint="eastAsia" w:ascii="仿宋_GB2312" w:hAnsi="仿宋_GB2312" w:eastAsia="仿宋_GB2312" w:cs="仿宋_GB2312"/>
                <w:spacing w:val="-3"/>
                <w:sz w:val="22"/>
                <w:szCs w:val="22"/>
              </w:rPr>
              <w:t>0</w:t>
            </w:r>
            <w:r>
              <w:rPr>
                <w:rFonts w:hint="eastAsia" w:ascii="仿宋_GB2312" w:hAnsi="仿宋_GB2312" w:eastAsia="仿宋_GB2312" w:cs="仿宋_GB2312"/>
                <w:sz w:val="22"/>
                <w:szCs w:val="22"/>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0D1219B3">
            <w:pPr>
              <w:spacing w:before="11" w:line="360" w:lineRule="auto"/>
              <w:ind w:left="175"/>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若</w:t>
            </w:r>
            <w:r>
              <w:rPr>
                <w:rFonts w:hint="eastAsia" w:ascii="仿宋_GB2312" w:hAnsi="仿宋_GB2312" w:eastAsia="仿宋_GB2312" w:cs="仿宋_GB2312"/>
                <w:sz w:val="22"/>
                <w:szCs w:val="22"/>
              </w:rPr>
              <w:t>干</w:t>
            </w:r>
          </w:p>
        </w:tc>
        <w:tc>
          <w:tcPr>
            <w:tcW w:w="1294" w:type="dxa"/>
            <w:tcBorders>
              <w:top w:val="single" w:color="000000" w:sz="4" w:space="0"/>
              <w:left w:val="single" w:color="000000" w:sz="4" w:space="0"/>
              <w:bottom w:val="single" w:color="000000" w:sz="4" w:space="0"/>
              <w:right w:val="single" w:color="000000" w:sz="4" w:space="0"/>
            </w:tcBorders>
            <w:vAlign w:val="center"/>
          </w:tcPr>
          <w:p w14:paraId="0D1219B4">
            <w:pPr>
              <w:spacing w:line="360" w:lineRule="auto"/>
              <w:rPr>
                <w:rFonts w:hint="eastAsia" w:ascii="仿宋_GB2312" w:hAnsi="仿宋_GB2312" w:eastAsia="仿宋_GB2312" w:cs="仿宋_GB2312"/>
                <w:sz w:val="22"/>
                <w:szCs w:val="22"/>
              </w:rPr>
            </w:pPr>
          </w:p>
        </w:tc>
      </w:tr>
      <w:tr w14:paraId="0D1219BB">
        <w:tblPrEx>
          <w:tblCellMar>
            <w:top w:w="0" w:type="dxa"/>
            <w:left w:w="0" w:type="dxa"/>
            <w:bottom w:w="0" w:type="dxa"/>
            <w:right w:w="0" w:type="dxa"/>
          </w:tblCellMar>
        </w:tblPrEx>
        <w:trPr>
          <w:trHeight w:val="452" w:hRule="exact"/>
          <w:jc w:val="center"/>
        </w:trPr>
        <w:tc>
          <w:tcPr>
            <w:tcW w:w="678" w:type="dxa"/>
            <w:tcBorders>
              <w:top w:val="single" w:color="000000" w:sz="4" w:space="0"/>
              <w:left w:val="single" w:color="000000" w:sz="4" w:space="0"/>
              <w:bottom w:val="single" w:color="000000" w:sz="4" w:space="0"/>
              <w:right w:val="single" w:color="000000" w:sz="4" w:space="0"/>
            </w:tcBorders>
            <w:vAlign w:val="center"/>
          </w:tcPr>
          <w:p w14:paraId="0D1219B6">
            <w:pPr>
              <w:spacing w:before="7" w:line="360" w:lineRule="auto"/>
              <w:ind w:left="259" w:right="260"/>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4</w:t>
            </w:r>
          </w:p>
        </w:tc>
        <w:tc>
          <w:tcPr>
            <w:tcW w:w="1368" w:type="dxa"/>
            <w:tcBorders>
              <w:top w:val="single" w:color="000000" w:sz="4" w:space="0"/>
              <w:left w:val="single" w:color="000000" w:sz="4" w:space="0"/>
              <w:bottom w:val="single" w:color="000000" w:sz="4" w:space="0"/>
              <w:right w:val="single" w:color="000000" w:sz="4" w:space="0"/>
            </w:tcBorders>
            <w:vAlign w:val="center"/>
          </w:tcPr>
          <w:p w14:paraId="0D1219B7">
            <w:pPr>
              <w:spacing w:before="7" w:line="360" w:lineRule="auto"/>
              <w:ind w:left="514"/>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螺</w:t>
            </w:r>
            <w:r>
              <w:rPr>
                <w:rFonts w:hint="eastAsia" w:ascii="仿宋_GB2312" w:hAnsi="仿宋_GB2312" w:eastAsia="仿宋_GB2312" w:cs="仿宋_GB2312"/>
                <w:sz w:val="22"/>
                <w:szCs w:val="22"/>
              </w:rPr>
              <w:t>丝</w:t>
            </w:r>
          </w:p>
        </w:tc>
        <w:tc>
          <w:tcPr>
            <w:tcW w:w="3814" w:type="dxa"/>
            <w:tcBorders>
              <w:top w:val="single" w:color="000000" w:sz="4" w:space="0"/>
              <w:left w:val="single" w:color="000000" w:sz="4" w:space="0"/>
              <w:bottom w:val="single" w:color="000000" w:sz="4" w:space="0"/>
              <w:right w:val="single" w:color="000000" w:sz="4" w:space="0"/>
            </w:tcBorders>
            <w:vAlign w:val="center"/>
          </w:tcPr>
          <w:p w14:paraId="0D1219B8">
            <w:pPr>
              <w:spacing w:before="7" w:line="360" w:lineRule="auto"/>
              <w:ind w:left="673"/>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直径2</w:t>
            </w:r>
            <w:r>
              <w:rPr>
                <w:rFonts w:hint="eastAsia" w:ascii="仿宋_GB2312" w:hAnsi="仿宋_GB2312" w:eastAsia="仿宋_GB2312" w:cs="仿宋_GB2312"/>
                <w:spacing w:val="-3"/>
                <w:sz w:val="22"/>
                <w:szCs w:val="22"/>
              </w:rPr>
              <w:t>、</w:t>
            </w:r>
            <w:r>
              <w:rPr>
                <w:rFonts w:hint="eastAsia" w:ascii="仿宋_GB2312" w:hAnsi="仿宋_GB2312" w:eastAsia="仿宋_GB2312" w:cs="仿宋_GB2312"/>
                <w:spacing w:val="-1"/>
                <w:sz w:val="22"/>
                <w:szCs w:val="22"/>
              </w:rPr>
              <w:t>4、6</w:t>
            </w:r>
            <w:r>
              <w:rPr>
                <w:rFonts w:hint="eastAsia" w:ascii="仿宋_GB2312" w:hAnsi="仿宋_GB2312" w:eastAsia="仿宋_GB2312" w:cs="仿宋_GB2312"/>
                <w:spacing w:val="-3"/>
                <w:sz w:val="22"/>
                <w:szCs w:val="22"/>
              </w:rPr>
              <w:t>、</w:t>
            </w:r>
            <w:r>
              <w:rPr>
                <w:rFonts w:hint="eastAsia" w:ascii="仿宋_GB2312" w:hAnsi="仿宋_GB2312" w:eastAsia="仿宋_GB2312" w:cs="仿宋_GB2312"/>
                <w:spacing w:val="-1"/>
                <w:sz w:val="22"/>
                <w:szCs w:val="22"/>
              </w:rPr>
              <w:t>8、10m</w:t>
            </w:r>
            <w:r>
              <w:rPr>
                <w:rFonts w:hint="eastAsia" w:ascii="仿宋_GB2312" w:hAnsi="仿宋_GB2312" w:eastAsia="仿宋_GB2312" w:cs="仿宋_GB2312"/>
                <w:sz w:val="22"/>
                <w:szCs w:val="22"/>
              </w:rPr>
              <w:t>m</w:t>
            </w:r>
          </w:p>
        </w:tc>
        <w:tc>
          <w:tcPr>
            <w:tcW w:w="851" w:type="dxa"/>
            <w:tcBorders>
              <w:top w:val="single" w:color="000000" w:sz="4" w:space="0"/>
              <w:left w:val="single" w:color="000000" w:sz="4" w:space="0"/>
              <w:bottom w:val="single" w:color="000000" w:sz="4" w:space="0"/>
              <w:right w:val="single" w:color="000000" w:sz="4" w:space="0"/>
            </w:tcBorders>
            <w:vAlign w:val="center"/>
          </w:tcPr>
          <w:p w14:paraId="0D1219B9">
            <w:pPr>
              <w:spacing w:before="7" w:line="360" w:lineRule="auto"/>
              <w:ind w:left="175"/>
              <w:jc w:val="left"/>
              <w:rPr>
                <w:rFonts w:hint="eastAsia" w:ascii="仿宋_GB2312" w:hAnsi="仿宋_GB2312" w:eastAsia="仿宋_GB2312" w:cs="仿宋_GB2312"/>
                <w:sz w:val="22"/>
                <w:szCs w:val="22"/>
              </w:rPr>
            </w:pPr>
            <w:r>
              <w:rPr>
                <w:rFonts w:hint="eastAsia" w:ascii="仿宋_GB2312" w:hAnsi="仿宋_GB2312" w:eastAsia="仿宋_GB2312" w:cs="仿宋_GB2312"/>
                <w:spacing w:val="-1"/>
                <w:sz w:val="22"/>
                <w:szCs w:val="22"/>
              </w:rPr>
              <w:t>若</w:t>
            </w:r>
            <w:r>
              <w:rPr>
                <w:rFonts w:hint="eastAsia" w:ascii="仿宋_GB2312" w:hAnsi="仿宋_GB2312" w:eastAsia="仿宋_GB2312" w:cs="仿宋_GB2312"/>
                <w:sz w:val="22"/>
                <w:szCs w:val="22"/>
              </w:rPr>
              <w:t>干</w:t>
            </w:r>
          </w:p>
        </w:tc>
        <w:tc>
          <w:tcPr>
            <w:tcW w:w="1294" w:type="dxa"/>
            <w:tcBorders>
              <w:top w:val="single" w:color="000000" w:sz="4" w:space="0"/>
              <w:left w:val="single" w:color="000000" w:sz="4" w:space="0"/>
              <w:bottom w:val="single" w:color="000000" w:sz="4" w:space="0"/>
              <w:right w:val="single" w:color="000000" w:sz="4" w:space="0"/>
            </w:tcBorders>
            <w:vAlign w:val="center"/>
          </w:tcPr>
          <w:p w14:paraId="0D1219BA">
            <w:pPr>
              <w:spacing w:line="360" w:lineRule="auto"/>
              <w:rPr>
                <w:rFonts w:hint="eastAsia" w:ascii="仿宋_GB2312" w:hAnsi="仿宋_GB2312" w:eastAsia="仿宋_GB2312" w:cs="仿宋_GB2312"/>
                <w:sz w:val="22"/>
                <w:szCs w:val="22"/>
              </w:rPr>
            </w:pPr>
          </w:p>
        </w:tc>
      </w:tr>
    </w:tbl>
    <w:p w14:paraId="0D1219BC">
      <w:pPr>
        <w:keepNext/>
        <w:keepLines/>
        <w:adjustRightInd w:val="0"/>
        <w:snapToGrid w:val="0"/>
        <w:spacing w:line="360" w:lineRule="auto"/>
        <w:ind w:firstLine="640" w:firstLineChars="200"/>
        <w:outlineLvl w:val="0"/>
        <w:rPr>
          <w:rFonts w:hint="eastAsia" w:ascii="黑体" w:hAnsi="黑体" w:eastAsia="黑体" w:cs="黑体"/>
          <w:bCs/>
          <w:kern w:val="44"/>
          <w:sz w:val="32"/>
          <w:szCs w:val="32"/>
        </w:rPr>
      </w:pPr>
      <w:r>
        <w:rPr>
          <w:rFonts w:hint="eastAsia" w:ascii="黑体" w:hAnsi="黑体" w:eastAsia="黑体" w:cs="黑体"/>
          <w:bCs/>
          <w:kern w:val="44"/>
          <w:sz w:val="32"/>
          <w:szCs w:val="32"/>
        </w:rPr>
        <w:t>四、参考用书</w:t>
      </w:r>
    </w:p>
    <w:p w14:paraId="0D1219BD">
      <w:pPr>
        <w:numPr>
          <w:ilvl w:val="0"/>
          <w:numId w:val="3"/>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许德章, 李公文, 夏娜. 数字孪生技术及应用[M]. 北京: 机械工业出版社, 2025.</w:t>
      </w:r>
    </w:p>
    <w:p w14:paraId="0D1219BE">
      <w:pPr>
        <w:widowControl/>
        <w:spacing w:line="360" w:lineRule="auto"/>
        <w:jc w:val="left"/>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附件：竞赛平台参数</w:t>
      </w:r>
    </w:p>
    <w:tbl>
      <w:tblPr>
        <w:tblStyle w:val="11"/>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09"/>
        <w:gridCol w:w="1417"/>
        <w:gridCol w:w="6237"/>
      </w:tblGrid>
      <w:tr w14:paraId="0D12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D1219BF">
            <w:pPr>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709" w:type="dxa"/>
          </w:tcPr>
          <w:p w14:paraId="0D1219C0">
            <w:pPr>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名称</w:t>
            </w:r>
          </w:p>
        </w:tc>
        <w:tc>
          <w:tcPr>
            <w:tcW w:w="1417" w:type="dxa"/>
          </w:tcPr>
          <w:p w14:paraId="0D1219C1">
            <w:pPr>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功能模块</w:t>
            </w:r>
          </w:p>
        </w:tc>
        <w:tc>
          <w:tcPr>
            <w:tcW w:w="6237" w:type="dxa"/>
          </w:tcPr>
          <w:p w14:paraId="0D1219C2">
            <w:pPr>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规格参数</w:t>
            </w:r>
          </w:p>
        </w:tc>
      </w:tr>
      <w:tr w14:paraId="0D12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04" w:type="dxa"/>
            <w:vAlign w:val="center"/>
          </w:tcPr>
          <w:p w14:paraId="0D1219C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709" w:type="dxa"/>
            <w:vMerge w:val="restart"/>
            <w:vAlign w:val="center"/>
          </w:tcPr>
          <w:p w14:paraId="0D1219C5">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机器人系统集成应用创新平台</w:t>
            </w:r>
          </w:p>
        </w:tc>
        <w:tc>
          <w:tcPr>
            <w:tcW w:w="1417" w:type="dxa"/>
            <w:vAlign w:val="center"/>
          </w:tcPr>
          <w:p w14:paraId="0D1219C6">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作业平台</w:t>
            </w:r>
          </w:p>
        </w:tc>
        <w:tc>
          <w:tcPr>
            <w:tcW w:w="6237" w:type="dxa"/>
            <w:vAlign w:val="center"/>
          </w:tcPr>
          <w:p w14:paraId="0D1219C7">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(长×宽×高)≥1160×920×780mm</w:t>
            </w:r>
          </w:p>
        </w:tc>
      </w:tr>
      <w:tr w14:paraId="0D12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1219C9">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709" w:type="dxa"/>
            <w:vMerge w:val="continue"/>
          </w:tcPr>
          <w:p w14:paraId="0D1219CA">
            <w:pPr>
              <w:spacing w:line="360" w:lineRule="auto"/>
              <w:rPr>
                <w:rFonts w:hint="eastAsia" w:ascii="仿宋_GB2312" w:hAnsi="仿宋_GB2312" w:eastAsia="仿宋_GB2312" w:cs="仿宋_GB2312"/>
                <w:sz w:val="24"/>
              </w:rPr>
            </w:pPr>
          </w:p>
        </w:tc>
        <w:tc>
          <w:tcPr>
            <w:tcW w:w="1417" w:type="dxa"/>
            <w:vAlign w:val="center"/>
          </w:tcPr>
          <w:p w14:paraId="0D1219CB">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工业机器人模块</w:t>
            </w:r>
          </w:p>
        </w:tc>
        <w:tc>
          <w:tcPr>
            <w:tcW w:w="6237" w:type="dxa"/>
          </w:tcPr>
          <w:p w14:paraId="0D1219CC">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工业机器人模块由工业机器人本体、机器人控制 器、机器人示教器、机器人线缆、机器人安装底板、 机器人末端执行器等组成。 </w:t>
            </w:r>
          </w:p>
          <w:p w14:paraId="0D1219CD">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(1)工作范围≥650mm； </w:t>
            </w:r>
          </w:p>
          <w:p w14:paraId="0D1219CE">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(2)重复定位精度≤±0.1mm；</w:t>
            </w:r>
          </w:p>
          <w:p w14:paraId="0D1219CF">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(3)额定负载≥3Kg； </w:t>
            </w:r>
          </w:p>
          <w:p w14:paraId="0D1219D0">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(4)各轴运动范围 J1≥±360° J2≥+80°-120°</w:t>
            </w:r>
          </w:p>
          <w:p w14:paraId="0D1219D1">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J3≥+180°-90° J5≥+200°-60° J4≥±360° J6≥±360° </w:t>
            </w:r>
          </w:p>
          <w:p w14:paraId="0D1219D2">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(5)各轴最大角速度 J1≥230°/s J2≥230°/s J4≥360°/s J5≥360°/s J3≥360°/s J6≥360°/s </w:t>
            </w:r>
          </w:p>
          <w:p w14:paraId="0D1219D3">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(6)接口配置：以太网接口，I/O，USB； </w:t>
            </w:r>
          </w:p>
          <w:p w14:paraId="0D1219D4">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(7) 本体重量约19Kg； </w:t>
            </w:r>
          </w:p>
          <w:p w14:paraId="0D1219D5">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(8)双系统设计，可实现在示教器、ROS下使用及开发； </w:t>
            </w:r>
          </w:p>
          <w:p w14:paraId="0D1219D6">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(9)外壳材质：铝合金。</w:t>
            </w:r>
          </w:p>
        </w:tc>
      </w:tr>
      <w:tr w14:paraId="0D12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1219D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709" w:type="dxa"/>
            <w:vMerge w:val="continue"/>
          </w:tcPr>
          <w:p w14:paraId="0D1219D9">
            <w:pPr>
              <w:spacing w:line="360" w:lineRule="auto"/>
              <w:rPr>
                <w:rFonts w:hint="eastAsia" w:ascii="仿宋_GB2312" w:hAnsi="仿宋_GB2312" w:eastAsia="仿宋_GB2312" w:cs="仿宋_GB2312"/>
                <w:sz w:val="24"/>
              </w:rPr>
            </w:pPr>
          </w:p>
        </w:tc>
        <w:tc>
          <w:tcPr>
            <w:tcW w:w="1417" w:type="dxa"/>
            <w:vAlign w:val="center"/>
          </w:tcPr>
          <w:p w14:paraId="0D1219DA">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皮带机输送分拣模块</w:t>
            </w:r>
          </w:p>
        </w:tc>
        <w:tc>
          <w:tcPr>
            <w:tcW w:w="6237" w:type="dxa"/>
          </w:tcPr>
          <w:p w14:paraId="0D1219DB">
            <w:pPr>
              <w:numPr>
                <w:ilvl w:val="0"/>
                <w:numId w:val="4"/>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外形尺寸（长×宽×高）≥503×112×170mm； </w:t>
            </w:r>
          </w:p>
          <w:p w14:paraId="0D1219DC">
            <w:pPr>
              <w:numPr>
                <w:ilvl w:val="0"/>
                <w:numId w:val="4"/>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工件分拣功能：光电传感器和接近传感器实现 分拣物料颜色和材质识别并分拣； </w:t>
            </w:r>
          </w:p>
          <w:p w14:paraId="0D1219DD">
            <w:pPr>
              <w:numPr>
                <w:ilvl w:val="0"/>
                <w:numId w:val="4"/>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驱动方式：步进电机； </w:t>
            </w:r>
          </w:p>
          <w:p w14:paraId="0D1219DE">
            <w:pPr>
              <w:numPr>
                <w:ilvl w:val="0"/>
                <w:numId w:val="4"/>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气缸行程≥30mm； </w:t>
            </w:r>
          </w:p>
          <w:p w14:paraId="0D1219DF">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(5)输送带末端有物料到位传感器，采用内置小型 放大器型光电传感器实现检测，检测方式为扩散反 射型，检测距离5mm～100mm。</w:t>
            </w:r>
          </w:p>
        </w:tc>
      </w:tr>
      <w:tr w14:paraId="0D12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1219E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709" w:type="dxa"/>
            <w:vMerge w:val="continue"/>
          </w:tcPr>
          <w:p w14:paraId="0D1219E2">
            <w:pPr>
              <w:spacing w:line="360" w:lineRule="auto"/>
              <w:rPr>
                <w:rFonts w:hint="eastAsia" w:ascii="仿宋_GB2312" w:hAnsi="仿宋_GB2312" w:eastAsia="仿宋_GB2312" w:cs="仿宋_GB2312"/>
                <w:sz w:val="24"/>
              </w:rPr>
            </w:pPr>
          </w:p>
        </w:tc>
        <w:tc>
          <w:tcPr>
            <w:tcW w:w="1417" w:type="dxa"/>
            <w:vAlign w:val="center"/>
          </w:tcPr>
          <w:p w14:paraId="0D1219E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机器视觉模块</w:t>
            </w:r>
          </w:p>
        </w:tc>
        <w:tc>
          <w:tcPr>
            <w:tcW w:w="6237" w:type="dxa"/>
          </w:tcPr>
          <w:p w14:paraId="0D1219E4">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机器视觉模块主要由工业相机、摄像头、安装支架 等组成。通过摄像头检测，完成装配是否成功的识 别及定位工件等功能。 </w:t>
            </w:r>
          </w:p>
          <w:p w14:paraId="0D1219E5">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(1)600万像素1/1.8”CMOS千兆以太网工业面 阵相机； </w:t>
            </w:r>
          </w:p>
          <w:p w14:paraId="0D1219E6">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(2)传感器类型CMOS，卷帘快门； (3)像元尺寸2.4µm×2.4µm； </w:t>
            </w:r>
          </w:p>
          <w:p w14:paraId="0D1219E7">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(4)靶面尺寸≥1/1.8”； </w:t>
            </w:r>
          </w:p>
          <w:p w14:paraId="0D1219E8">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(5)分辨率≥3072×2048； </w:t>
            </w:r>
          </w:p>
          <w:p w14:paraId="0D1219E9">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(6)最大帧率≥17fps； </w:t>
            </w:r>
          </w:p>
          <w:p w14:paraId="0D1219EA">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(7)动态范围71.3dB； </w:t>
            </w:r>
          </w:p>
          <w:p w14:paraId="0D1219EB">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(8)信噪比41.3dB； </w:t>
            </w:r>
          </w:p>
          <w:p w14:paraId="0D1219EC">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(9)增益0dB~20dB； </w:t>
            </w:r>
          </w:p>
          <w:p w14:paraId="0D1219ED">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(10)曝光时间27μs~2.5sec； (11)算法平台具有自主知识产权，致力于提供快 速搭建视觉应用、解决视觉检测难题的算法工具， 能满足视觉定位、尺寸测量、缺陷检测以及信息识 别等机器视觉应用。算法平台配备了高性能深度学 习算法，经过大量案例验证、优化后的算法能够对 常见检测品都有良好的适应性。深度学习算法提供 分类、目标检测、字符定位与识别、分割等算法模 块，通过内建的图形化数据标注界面，采集、训练 到检测的完整流程能够全部在算法平台内部完成。</w:t>
            </w:r>
          </w:p>
        </w:tc>
      </w:tr>
      <w:tr w14:paraId="0D12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1219E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709" w:type="dxa"/>
            <w:vMerge w:val="continue"/>
          </w:tcPr>
          <w:p w14:paraId="0D1219F0">
            <w:pPr>
              <w:spacing w:line="360" w:lineRule="auto"/>
              <w:rPr>
                <w:rFonts w:hint="eastAsia" w:ascii="仿宋_GB2312" w:hAnsi="仿宋_GB2312" w:eastAsia="仿宋_GB2312" w:cs="仿宋_GB2312"/>
                <w:sz w:val="24"/>
              </w:rPr>
            </w:pPr>
          </w:p>
        </w:tc>
        <w:tc>
          <w:tcPr>
            <w:tcW w:w="1417" w:type="dxa"/>
            <w:vAlign w:val="center"/>
          </w:tcPr>
          <w:p w14:paraId="0D1219F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仓储模块</w:t>
            </w:r>
          </w:p>
        </w:tc>
        <w:tc>
          <w:tcPr>
            <w:tcW w:w="6237" w:type="dxa"/>
          </w:tcPr>
          <w:p w14:paraId="0D1219F2">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(1)外形尺寸（长×宽×高）≥230×80×346mm； </w:t>
            </w:r>
          </w:p>
          <w:p w14:paraId="0D1219F3">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(2)具有不少于4个仓位，分两层，每个仓位尺寸 ≥50mm×50mm； </w:t>
            </w:r>
          </w:p>
          <w:p w14:paraId="0D1219F4">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(3)检测方式：光电传感器和微动开关。</w:t>
            </w:r>
          </w:p>
        </w:tc>
      </w:tr>
      <w:tr w14:paraId="0D12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1219F6">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709" w:type="dxa"/>
            <w:vMerge w:val="continue"/>
          </w:tcPr>
          <w:p w14:paraId="0D1219F7">
            <w:pPr>
              <w:spacing w:line="360" w:lineRule="auto"/>
              <w:rPr>
                <w:rFonts w:hint="eastAsia" w:ascii="仿宋_GB2312" w:hAnsi="仿宋_GB2312" w:eastAsia="仿宋_GB2312" w:cs="仿宋_GB2312"/>
                <w:sz w:val="24"/>
              </w:rPr>
            </w:pPr>
          </w:p>
        </w:tc>
        <w:tc>
          <w:tcPr>
            <w:tcW w:w="1417" w:type="dxa"/>
            <w:vAlign w:val="center"/>
          </w:tcPr>
          <w:p w14:paraId="0D1219F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模拟机床模块</w:t>
            </w:r>
          </w:p>
        </w:tc>
        <w:tc>
          <w:tcPr>
            <w:tcW w:w="6237" w:type="dxa"/>
          </w:tcPr>
          <w:p w14:paraId="0D1219F9">
            <w:pPr>
              <w:numPr>
                <w:ilvl w:val="0"/>
                <w:numId w:val="5"/>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包含模拟机床卡盘机构、模拟机床门机构、产品定位机构、产品对中机构； </w:t>
            </w:r>
          </w:p>
          <w:p w14:paraId="0D1219FA">
            <w:pPr>
              <w:numPr>
                <w:ilvl w:val="0"/>
                <w:numId w:val="5"/>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卡盘行程≥4mm； </w:t>
            </w:r>
          </w:p>
          <w:p w14:paraId="0D1219FB">
            <w:pPr>
              <w:numPr>
                <w:ilvl w:val="0"/>
                <w:numId w:val="5"/>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开关门行程≥150mm； </w:t>
            </w:r>
          </w:p>
          <w:p w14:paraId="0D1219FC">
            <w:pPr>
              <w:numPr>
                <w:ilvl w:val="0"/>
                <w:numId w:val="5"/>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产品可摆放数量≥6个； </w:t>
            </w:r>
          </w:p>
          <w:p w14:paraId="0D1219FD">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(5)模块单元外形尺寸≥300*600*190mm。</w:t>
            </w:r>
          </w:p>
        </w:tc>
      </w:tr>
      <w:tr w14:paraId="0D12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1219F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709" w:type="dxa"/>
            <w:vMerge w:val="continue"/>
          </w:tcPr>
          <w:p w14:paraId="0D121A00">
            <w:pPr>
              <w:spacing w:line="360" w:lineRule="auto"/>
              <w:rPr>
                <w:rFonts w:hint="eastAsia" w:ascii="仿宋_GB2312" w:hAnsi="仿宋_GB2312" w:eastAsia="仿宋_GB2312" w:cs="仿宋_GB2312"/>
                <w:sz w:val="24"/>
              </w:rPr>
            </w:pPr>
          </w:p>
        </w:tc>
        <w:tc>
          <w:tcPr>
            <w:tcW w:w="1417" w:type="dxa"/>
            <w:vAlign w:val="center"/>
          </w:tcPr>
          <w:p w14:paraId="0D121A0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人机交互模块</w:t>
            </w:r>
          </w:p>
        </w:tc>
        <w:tc>
          <w:tcPr>
            <w:tcW w:w="6237" w:type="dxa"/>
          </w:tcPr>
          <w:p w14:paraId="0D121A02">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(1)操作面板 </w:t>
            </w:r>
          </w:p>
          <w:p w14:paraId="0D121A03">
            <w:pPr>
              <w:numPr>
                <w:ilvl w:val="0"/>
                <w:numId w:val="6"/>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材质：操控面板采用≥3mm冷轧钢板折弯制作； </w:t>
            </w:r>
          </w:p>
          <w:p w14:paraId="0D121A04">
            <w:pPr>
              <w:numPr>
                <w:ilvl w:val="0"/>
                <w:numId w:val="6"/>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可在平台上根据需要自由安装； </w:t>
            </w:r>
          </w:p>
          <w:p w14:paraId="0D121A05">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3)操作面板包含工作站开启，停止，复位，急停，模式选择功能。 </w:t>
            </w:r>
          </w:p>
          <w:p w14:paraId="0D121A06">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(2)触摸屏 </w:t>
            </w:r>
          </w:p>
          <w:p w14:paraId="0D121A07">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1)液晶屏≥7寸； </w:t>
            </w:r>
          </w:p>
          <w:p w14:paraId="0D121A08">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2)背光类型：LED； </w:t>
            </w:r>
          </w:p>
          <w:p w14:paraId="0D121A09">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3)分辨率≥800×480； </w:t>
            </w:r>
          </w:p>
          <w:p w14:paraId="0D121A0A">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4)显示亮度≥450cd/m²； </w:t>
            </w:r>
          </w:p>
          <w:p w14:paraId="0D121A0B">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5)色彩：16.7M； </w:t>
            </w:r>
          </w:p>
          <w:p w14:paraId="0D121A0C">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6) LCD可视角（T/B/L/R）：60/70/70/70; </w:t>
            </w:r>
          </w:p>
          <w:p w14:paraId="0D121A0D">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7)触控面板类型：四线电阻式； </w:t>
            </w:r>
          </w:p>
          <w:p w14:paraId="0D121A0E">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8)输入电源：24±20%VDC； </w:t>
            </w:r>
          </w:p>
          <w:p w14:paraId="0D121A0F">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9)功耗≤450mA@24V； </w:t>
            </w:r>
          </w:p>
          <w:p w14:paraId="0D121A10">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10)处理器不低于双核心RISC中央处理器； </w:t>
            </w:r>
          </w:p>
          <w:p w14:paraId="0D121A11">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11)内存（Flash）≥128MB， </w:t>
            </w:r>
          </w:p>
          <w:p w14:paraId="0D121A12">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12)内存（RAM）≥128MB; </w:t>
            </w:r>
          </w:p>
          <w:p w14:paraId="0D121A13">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13)I/O接口：USBHost：USB2.0×1，以太网接口： 10/100Base-Tx1； </w:t>
            </w:r>
          </w:p>
          <w:p w14:paraId="0D121A14">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14)串行接口：COM1:RS-2324W,COM2:RS-485 2W/4W； </w:t>
            </w:r>
          </w:p>
          <w:p w14:paraId="0D121A15">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15)与PLC通信。</w:t>
            </w:r>
          </w:p>
        </w:tc>
      </w:tr>
      <w:tr w14:paraId="0D12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121A17">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709" w:type="dxa"/>
            <w:vMerge w:val="continue"/>
          </w:tcPr>
          <w:p w14:paraId="0D121A18">
            <w:pPr>
              <w:spacing w:line="360" w:lineRule="auto"/>
              <w:rPr>
                <w:rFonts w:hint="eastAsia" w:ascii="仿宋_GB2312" w:hAnsi="仿宋_GB2312" w:eastAsia="仿宋_GB2312" w:cs="仿宋_GB2312"/>
                <w:sz w:val="24"/>
              </w:rPr>
            </w:pPr>
          </w:p>
        </w:tc>
        <w:tc>
          <w:tcPr>
            <w:tcW w:w="1417" w:type="dxa"/>
            <w:vAlign w:val="center"/>
          </w:tcPr>
          <w:p w14:paraId="0D121A19">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电气控制模块</w:t>
            </w:r>
          </w:p>
        </w:tc>
        <w:tc>
          <w:tcPr>
            <w:tcW w:w="6237" w:type="dxa"/>
          </w:tcPr>
          <w:p w14:paraId="0D121A1A">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电气控制模块由PLC实现控制，配置主流电气元 件。 </w:t>
            </w:r>
          </w:p>
          <w:p w14:paraId="0D121A1B">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（1）PLC </w:t>
            </w:r>
          </w:p>
          <w:p w14:paraId="0D121A1C">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CPU带有显示屏； </w:t>
            </w:r>
          </w:p>
          <w:p w14:paraId="0D121A1D">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工作存储器可存储≥1MB代码和≥5MB数 据； </w:t>
            </w:r>
          </w:p>
          <w:p w14:paraId="0D121A1E">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位指令执行时间≤10ns； </w:t>
            </w:r>
          </w:p>
          <w:p w14:paraId="0D121A1F">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≥4级防护机制； </w:t>
            </w:r>
          </w:p>
          <w:p w14:paraId="0D121A20">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工艺功能：运动控制，闭环控制，计数与测量； </w:t>
            </w:r>
          </w:p>
          <w:p w14:paraId="0D121A21">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跟踪功能；运行系统选件； </w:t>
            </w:r>
          </w:p>
          <w:p w14:paraId="0D121A22">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适用于所有PROFINET接口： </w:t>
            </w:r>
          </w:p>
          <w:p w14:paraId="0D121A23">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传输协议TCP/IP，开放式用户安全通信，S7通 信，S7路由，IP转发，Web服务器，DNS客户 端，OPCUA： </w:t>
            </w:r>
          </w:p>
          <w:p w14:paraId="0D121A24">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第1个接口支持：PROFINETIO控制器，支 持RT/IRT，性能升级PROFINETV2.3，双端口， 智能设备，支持MRP、MRPD，等时同步模式； </w:t>
            </w:r>
          </w:p>
          <w:p w14:paraId="0D121A25">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第2个接口支持：PROFINETIO控制器， 支持RT，智能设备； </w:t>
            </w:r>
          </w:p>
          <w:p w14:paraId="0D121A26">
            <w:pPr>
              <w:numPr>
                <w:ilvl w:val="0"/>
                <w:numId w:val="7"/>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第3个接口支持：PROFIBUSDP主站，S7通 信，等时同步模式，S7路由。 </w:t>
            </w:r>
          </w:p>
          <w:p w14:paraId="0D121A27">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（2）远程I/O模块 </w:t>
            </w:r>
          </w:p>
          <w:p w14:paraId="0D121A28">
            <w:pPr>
              <w:numPr>
                <w:ilvl w:val="0"/>
                <w:numId w:val="8"/>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≥数字量16入16出（PNP） </w:t>
            </w:r>
          </w:p>
          <w:p w14:paraId="0D121A29">
            <w:pPr>
              <w:numPr>
                <w:ilvl w:val="0"/>
                <w:numId w:val="8"/>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≥2路PN485网关； </w:t>
            </w:r>
          </w:p>
          <w:p w14:paraId="0D121A2A">
            <w:pPr>
              <w:numPr>
                <w:ilvl w:val="0"/>
                <w:numId w:val="8"/>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支持ProfiNET协议； </w:t>
            </w:r>
          </w:p>
          <w:p w14:paraId="0D121A2B">
            <w:pPr>
              <w:numPr>
                <w:ilvl w:val="0"/>
                <w:numId w:val="8"/>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支持ModbusTCP协议； </w:t>
            </w:r>
          </w:p>
          <w:p w14:paraId="0D121A2C">
            <w:pPr>
              <w:numPr>
                <w:ilvl w:val="0"/>
                <w:numId w:val="8"/>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支持RTU掉站报警功能； </w:t>
            </w:r>
          </w:p>
          <w:p w14:paraId="0D121A2D">
            <w:pPr>
              <w:numPr>
                <w:ilvl w:val="0"/>
                <w:numId w:val="8"/>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尺寸≤108×45×125mm。 </w:t>
            </w:r>
          </w:p>
          <w:p w14:paraId="0D121A2E">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（3）开关电源 </w:t>
            </w:r>
          </w:p>
          <w:p w14:paraId="0D121A2F">
            <w:pPr>
              <w:numPr>
                <w:ilvl w:val="0"/>
                <w:numId w:val="9"/>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输出电流≥5A; </w:t>
            </w:r>
          </w:p>
          <w:p w14:paraId="0D121A30">
            <w:pPr>
              <w:numPr>
                <w:ilvl w:val="0"/>
                <w:numId w:val="9"/>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输出电压≥90-264VAC； </w:t>
            </w:r>
          </w:p>
          <w:p w14:paraId="0D121A31">
            <w:pPr>
              <w:numPr>
                <w:ilvl w:val="0"/>
                <w:numId w:val="9"/>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输出功率≥120W; </w:t>
            </w:r>
          </w:p>
          <w:p w14:paraId="0D121A32">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4）尺寸≤113.5×40×125.2mm。</w:t>
            </w:r>
          </w:p>
        </w:tc>
      </w:tr>
      <w:tr w14:paraId="0D12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4" w:type="dxa"/>
            <w:vAlign w:val="center"/>
          </w:tcPr>
          <w:p w14:paraId="0D121A3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709" w:type="dxa"/>
            <w:vMerge w:val="continue"/>
          </w:tcPr>
          <w:p w14:paraId="0D121A35">
            <w:pPr>
              <w:spacing w:line="360" w:lineRule="auto"/>
              <w:rPr>
                <w:rFonts w:hint="eastAsia" w:ascii="仿宋_GB2312" w:hAnsi="仿宋_GB2312" w:eastAsia="仿宋_GB2312" w:cs="仿宋_GB2312"/>
                <w:sz w:val="24"/>
              </w:rPr>
            </w:pPr>
          </w:p>
        </w:tc>
        <w:tc>
          <w:tcPr>
            <w:tcW w:w="1417" w:type="dxa"/>
            <w:vAlign w:val="center"/>
          </w:tcPr>
          <w:p w14:paraId="0D121A36">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气动系统模块</w:t>
            </w:r>
          </w:p>
        </w:tc>
        <w:tc>
          <w:tcPr>
            <w:tcW w:w="6237" w:type="dxa"/>
          </w:tcPr>
          <w:p w14:paraId="0D121A37">
            <w:pPr>
              <w:numPr>
                <w:ilvl w:val="0"/>
                <w:numId w:val="10"/>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无油静音气泵； </w:t>
            </w:r>
          </w:p>
          <w:p w14:paraId="0D121A38">
            <w:pPr>
              <w:numPr>
                <w:ilvl w:val="0"/>
                <w:numId w:val="10"/>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输出压力范围：0-0.7Mpa； </w:t>
            </w:r>
          </w:p>
          <w:p w14:paraId="0D121A39">
            <w:pPr>
              <w:numPr>
                <w:ilvl w:val="0"/>
                <w:numId w:val="10"/>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流量≥40L/min； </w:t>
            </w:r>
          </w:p>
          <w:p w14:paraId="0D121A3A">
            <w:pPr>
              <w:numPr>
                <w:ilvl w:val="0"/>
                <w:numId w:val="10"/>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储气罐容量≥30L； </w:t>
            </w:r>
          </w:p>
          <w:p w14:paraId="0D121A3B">
            <w:pPr>
              <w:numPr>
                <w:ilvl w:val="0"/>
                <w:numId w:val="10"/>
              </w:num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外形尺寸≥555×255×510mm； (6)功率：220V/50Hz，≥550W； </w:t>
            </w:r>
          </w:p>
          <w:p w14:paraId="0D121A3C">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(7)系统包括真空发生器、油水分离器、真空吸盘、气缸、夹爪、电磁阀、气管、接头、节流阀等。</w:t>
            </w:r>
          </w:p>
        </w:tc>
      </w:tr>
      <w:tr w14:paraId="0D12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121A3E">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709" w:type="dxa"/>
            <w:vAlign w:val="center"/>
          </w:tcPr>
          <w:p w14:paraId="0D121A3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数字孪生工厂软件 </w:t>
            </w:r>
          </w:p>
        </w:tc>
        <w:tc>
          <w:tcPr>
            <w:tcW w:w="1417" w:type="dxa"/>
            <w:vAlign w:val="center"/>
          </w:tcPr>
          <w:p w14:paraId="0D121A40">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6237" w:type="dxa"/>
          </w:tcPr>
          <w:p w14:paraId="0D121A41">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Digital Twin Factory(简称：DTF)是一款国际领先的智能制造3D数字化仿真系统。软件是集3D工艺 仿真、装配仿真、人机协作、物流仿真、机器人仿真、虚拟调试、数字孪生等功能于一体的数字化工业仿真平台，软件可应用于新建工厂的产线布局设计、物流规划、价值流分析；工厂生产效率提升、 精益改善；新产品研发端的可制造性分析、工艺设 计、装配仿真；自动化虚拟调试、机器人轨迹规划 及示教等，功能强大。 </w:t>
            </w:r>
          </w:p>
          <w:p w14:paraId="0D121A42">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(1)网络组件库</w:t>
            </w:r>
          </w:p>
          <w:p w14:paraId="0D121A43">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数字孪生软件中有超过2400多种的成熟组件，主要包括有机器人（包含40多种品牌150个机器人，品牌有ABB、KUKA、FANUC、SIASUN、 YASAKAWA、UR、EFORT....）、加工设备（主流 数控机床、数控加工中心、五轴加工中心等）、机 械手、输送带、龙门架、立体仓库、AGV、变位 机、外围设备等模型，且大部分组件都是参数化的 组件，通过参数设置可调整组件的尺寸或其他特 性，可以轻松自助式构建任意离散型/流程型生产 线及智能制造系统。 </w:t>
            </w:r>
          </w:p>
          <w:p w14:paraId="0D121A44">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(2)方案可行性评估 </w:t>
            </w:r>
          </w:p>
          <w:p w14:paraId="0D121A45">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DTF软件仿真可用于智能制造系统建设方案或智 能化改造方案的可行性进行评估，DTF软件在模 拟仿真时，可实时采集仿真数据生成数据图表。在 模拟仿真中，查看各工位中每个机器人，每个设备 的实际效率，对成本控制能提供高效服务。还可通 过API接口，导出excel表格，并支持组件信息导 出BOM表，做数据分析，工艺优化等使用。 </w:t>
            </w:r>
          </w:p>
          <w:p w14:paraId="0D121A46">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(3)流程布局搭建 </w:t>
            </w:r>
          </w:p>
          <w:p w14:paraId="0D121A47">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DTF软件有简单而强大的方法来管理布局中的产 品和生产流程。“Process”工艺模块选项卡包括定义 产品，编辑工艺和管理生产流程，通过快速定义和 管理使工艺和生产流程方案演示更加直观。 </w:t>
            </w:r>
          </w:p>
          <w:p w14:paraId="0D121A48">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(4)数字孪生应用 </w:t>
            </w:r>
          </w:p>
          <w:p w14:paraId="0D121A49">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将设备的三维模型文件导入DTF软件中，对导入 的模型进行特征上的整理操作、定义动作部件及触 发信号定义，通过Python语言编写脚本，定义好 每种动作的触发信号，利用工业数据采集软件将实 际PLC的信号进行整合处理，再统一与DTF软件 进行通讯交互，实现DTF软件与PLC之间的虚实 结合，实现数字孪生功能。 </w:t>
            </w:r>
          </w:p>
          <w:p w14:paraId="0D121A4A">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(5)虚拟调试 </w:t>
            </w:r>
          </w:p>
          <w:p w14:paraId="0D121A4B">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DTF通过连接PLC进行虚拟调试，如果与实际 PLC的通讯，还可以实现虚拟系统与实际系统的 互联互通，同时可在运行中通过调整虚拟系统中的 参数及业务流,查看所相连的实际系统的状态变 化,以达到对实际系统相关指标的评测。 </w:t>
            </w:r>
          </w:p>
          <w:p w14:paraId="0D121A4C">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(6)机器人空间可达性 </w:t>
            </w:r>
          </w:p>
          <w:p w14:paraId="0D121A4D">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DTF软件可对每个机器人工作范围与工作轮廓进 行显示，方便验证机器人工作半径可达性。 </w:t>
            </w:r>
          </w:p>
          <w:p w14:paraId="0D121A4E">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(7)机器人碰撞分析 </w:t>
            </w:r>
          </w:p>
          <w:p w14:paraId="0D121A4F">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DTF软件可对机器人碰撞检测效果直观显示，可在DTF软件中设置安全距离。DTF软件可直接输 出带有尺寸标注和BOM表的2D图纸。 </w:t>
            </w:r>
          </w:p>
          <w:p w14:paraId="0D121A50">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(8)仿真文件输出 </w:t>
            </w:r>
          </w:p>
          <w:p w14:paraId="0D121A51">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DTF软件可以输出整体或局部的二维PDF、DWG、 DXF文件，录制高清（最高4K）视频文件，录制 3DPDF动画，2D图纸导出，3D手机APP/VR展 示仿真文件，支持自带软件直连VR播放和交互操 作。 </w:t>
            </w:r>
          </w:p>
          <w:p w14:paraId="0D121A52">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(9)2D制图功能 </w:t>
            </w:r>
          </w:p>
          <w:p w14:paraId="0D121A53">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DTF软件可将3D场景转换成2D图纸，无需借助 SW、UG、CAD等三维建模软件，可直接在DTF 软件中对2D制图进行添加尺寸标注、添加注释和 物料清单。 </w:t>
            </w:r>
          </w:p>
          <w:p w14:paraId="0D121A54">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(10)3D场景一键生成 </w:t>
            </w:r>
          </w:p>
          <w:p w14:paraId="0D121A55">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 软件可将导入的2DDWG格式的图纸一键自 动生成3D布局场景；DTF软件支持场景组件阵列 克隆。 </w:t>
            </w:r>
          </w:p>
          <w:p w14:paraId="0D121A56">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(11)机器人程序导出 </w:t>
            </w:r>
          </w:p>
          <w:p w14:paraId="0D121A57">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DTF软件支持机器人离线编程功能，支持FANUC、 ABB、KUKA、Yaskawa、UR、EPSON、Mitsubishi、 DOOSAN等机器人的程序导出，支持工件标定功 能，并支持机器人点位信息导入功能。 </w:t>
            </w:r>
          </w:p>
          <w:p w14:paraId="0D121A58">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(12)开放的API接口 </w:t>
            </w:r>
          </w:p>
          <w:p w14:paraId="0D121A59">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软件使用的新构架开放度和模块化更高，让定制化 平台更容易。软件基于.NET技术，提供PythonAPI 接口便于用户定制自己的UI界面和组件的仿真行为。</w:t>
            </w:r>
          </w:p>
        </w:tc>
      </w:tr>
    </w:tbl>
    <w:p w14:paraId="0D121A5B">
      <w:pPr>
        <w:spacing w:line="360" w:lineRule="auto"/>
        <w:rPr>
          <w:rFonts w:hint="eastAsia" w:ascii="仿宋_GB2312" w:hAnsi="仿宋_GB2312" w:eastAsia="仿宋_GB2312" w:cs="仿宋_GB2312"/>
        </w:rPr>
      </w:pPr>
    </w:p>
    <w:p w14:paraId="0D121A5C">
      <w:pPr>
        <w:rPr>
          <w:rFonts w:ascii="Times New Roman" w:hAnsi="Times New Roman"/>
        </w:rPr>
      </w:pPr>
    </w:p>
    <w:p w14:paraId="7339A215"/>
    <w:sectPr>
      <w:footerReference r:id="rId3" w:type="default"/>
      <w:pgSz w:w="11906" w:h="16838"/>
      <w:pgMar w:top="1440" w:right="1440" w:bottom="144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21A73">
    <w:pPr>
      <w:pStyle w:val="4"/>
      <w:jc w:val="both"/>
      <w:rPr>
        <w:sz w:val="21"/>
        <w:szCs w:val="28"/>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21A7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D121A7A">
                    <w:pPr>
                      <w:pStyle w:val="4"/>
                    </w:pPr>
                    <w:r>
                      <w:fldChar w:fldCharType="begin"/>
                    </w:r>
                    <w:r>
                      <w:instrText xml:space="preserve"> PAGE  \* MERGEFORMAT </w:instrText>
                    </w:r>
                    <w:r>
                      <w:fldChar w:fldCharType="separate"/>
                    </w:r>
                    <w:r>
                      <w:t>1</w:t>
                    </w:r>
                    <w:r>
                      <w:fldChar w:fldCharType="end"/>
                    </w:r>
                  </w:p>
                </w:txbxContent>
              </v:textbox>
            </v:shape>
          </w:pict>
        </mc:Fallback>
      </mc:AlternateContent>
    </w:r>
  </w:p>
  <w:p w14:paraId="0D121A74">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D6946"/>
    <w:multiLevelType w:val="singleLevel"/>
    <w:tmpl w:val="8ABD6946"/>
    <w:lvl w:ilvl="0" w:tentative="0">
      <w:start w:val="1"/>
      <w:numFmt w:val="decimal"/>
      <w:suff w:val="nothing"/>
      <w:lvlText w:val="%1）"/>
      <w:lvlJc w:val="left"/>
    </w:lvl>
  </w:abstractNum>
  <w:abstractNum w:abstractNumId="1">
    <w:nsid w:val="8FA3386A"/>
    <w:multiLevelType w:val="singleLevel"/>
    <w:tmpl w:val="8FA3386A"/>
    <w:lvl w:ilvl="0" w:tentative="0">
      <w:start w:val="1"/>
      <w:numFmt w:val="decimal"/>
      <w:lvlText w:val="%1)"/>
      <w:lvlJc w:val="left"/>
      <w:pPr>
        <w:tabs>
          <w:tab w:val="left" w:pos="312"/>
        </w:tabs>
      </w:pPr>
    </w:lvl>
  </w:abstractNum>
  <w:abstractNum w:abstractNumId="2">
    <w:nsid w:val="926DEA0C"/>
    <w:multiLevelType w:val="singleLevel"/>
    <w:tmpl w:val="926DEA0C"/>
    <w:lvl w:ilvl="0" w:tentative="0">
      <w:start w:val="1"/>
      <w:numFmt w:val="decimal"/>
      <w:suff w:val="space"/>
      <w:lvlText w:val="(%1)"/>
      <w:lvlJc w:val="left"/>
    </w:lvl>
  </w:abstractNum>
  <w:abstractNum w:abstractNumId="3">
    <w:nsid w:val="C24AA9AD"/>
    <w:multiLevelType w:val="singleLevel"/>
    <w:tmpl w:val="C24AA9AD"/>
    <w:lvl w:ilvl="0" w:tentative="0">
      <w:start w:val="1"/>
      <w:numFmt w:val="decimal"/>
      <w:suff w:val="nothing"/>
      <w:lvlText w:val="%1）"/>
      <w:lvlJc w:val="left"/>
    </w:lvl>
  </w:abstractNum>
  <w:abstractNum w:abstractNumId="4">
    <w:nsid w:val="E230BF1B"/>
    <w:multiLevelType w:val="singleLevel"/>
    <w:tmpl w:val="E230BF1B"/>
    <w:lvl w:ilvl="0" w:tentative="0">
      <w:start w:val="1"/>
      <w:numFmt w:val="decimal"/>
      <w:suff w:val="nothing"/>
      <w:lvlText w:val="（%1）"/>
      <w:lvlJc w:val="left"/>
    </w:lvl>
  </w:abstractNum>
  <w:abstractNum w:abstractNumId="5">
    <w:nsid w:val="E9865A4B"/>
    <w:multiLevelType w:val="singleLevel"/>
    <w:tmpl w:val="E9865A4B"/>
    <w:lvl w:ilvl="0" w:tentative="0">
      <w:start w:val="1"/>
      <w:numFmt w:val="decimal"/>
      <w:suff w:val="nothing"/>
      <w:lvlText w:val="%1）"/>
      <w:lvlJc w:val="left"/>
    </w:lvl>
  </w:abstractNum>
  <w:abstractNum w:abstractNumId="6">
    <w:nsid w:val="192B2D80"/>
    <w:multiLevelType w:val="multilevel"/>
    <w:tmpl w:val="192B2D8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33DE1D8C"/>
    <w:multiLevelType w:val="singleLevel"/>
    <w:tmpl w:val="33DE1D8C"/>
    <w:lvl w:ilvl="0" w:tentative="0">
      <w:start w:val="1"/>
      <w:numFmt w:val="decimal"/>
      <w:lvlText w:val="(%1)"/>
      <w:lvlJc w:val="left"/>
      <w:pPr>
        <w:tabs>
          <w:tab w:val="left" w:pos="312"/>
        </w:tabs>
      </w:pPr>
    </w:lvl>
  </w:abstractNum>
  <w:abstractNum w:abstractNumId="8">
    <w:nsid w:val="5E98BBAA"/>
    <w:multiLevelType w:val="singleLevel"/>
    <w:tmpl w:val="5E98BBAA"/>
    <w:lvl w:ilvl="0" w:tentative="0">
      <w:start w:val="1"/>
      <w:numFmt w:val="decimal"/>
      <w:suff w:val="nothing"/>
      <w:lvlText w:val="（%1）"/>
      <w:lvlJc w:val="left"/>
    </w:lvl>
  </w:abstractNum>
  <w:abstractNum w:abstractNumId="9">
    <w:nsid w:val="6F0E709C"/>
    <w:multiLevelType w:val="singleLevel"/>
    <w:tmpl w:val="6F0E709C"/>
    <w:lvl w:ilvl="0" w:tentative="0">
      <w:start w:val="1"/>
      <w:numFmt w:val="decimal"/>
      <w:lvlText w:val="(%1)"/>
      <w:lvlJc w:val="left"/>
      <w:pPr>
        <w:tabs>
          <w:tab w:val="left" w:pos="312"/>
        </w:tabs>
      </w:pPr>
    </w:lvl>
  </w:abstractNum>
  <w:num w:numId="1">
    <w:abstractNumId w:val="8"/>
  </w:num>
  <w:num w:numId="2">
    <w:abstractNumId w:val="4"/>
  </w:num>
  <w:num w:numId="3">
    <w:abstractNumId w:val="6"/>
  </w:num>
  <w:num w:numId="4">
    <w:abstractNumId w:val="2"/>
  </w:num>
  <w:num w:numId="5">
    <w:abstractNumId w:val="9"/>
  </w:num>
  <w:num w:numId="6">
    <w:abstractNumId w:val="1"/>
  </w:num>
  <w:num w:numId="7">
    <w:abstractNumId w:val="3"/>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570441"/>
    <w:rsid w:val="5A570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toc 1"/>
    <w:basedOn w:val="1"/>
    <w:next w:val="1"/>
    <w:unhideWhenUsed/>
    <w:qFormat/>
    <w:uiPriority w:val="39"/>
    <w:pPr>
      <w:widowControl/>
      <w:spacing w:after="100" w:line="259" w:lineRule="auto"/>
      <w:jc w:val="left"/>
    </w:pPr>
    <w:rPr>
      <w:rFonts w:cs="Times New Roman"/>
      <w:kern w:val="0"/>
      <w:sz w:val="22"/>
      <w:szCs w:val="22"/>
    </w:rPr>
  </w:style>
  <w:style w:type="paragraph" w:styleId="6">
    <w:name w:val="toc 2"/>
    <w:basedOn w:val="1"/>
    <w:next w:val="1"/>
    <w:unhideWhenUsed/>
    <w:qFormat/>
    <w:uiPriority w:val="39"/>
    <w:pPr>
      <w:widowControl/>
      <w:spacing w:after="100" w:line="259" w:lineRule="auto"/>
      <w:ind w:left="220"/>
      <w:jc w:val="left"/>
    </w:pPr>
    <w:rPr>
      <w:rFonts w:cs="Times New Roman"/>
      <w:kern w:val="0"/>
      <w:sz w:val="22"/>
      <w:szCs w:val="22"/>
    </w:rPr>
  </w:style>
  <w:style w:type="character" w:styleId="9">
    <w:name w:val="Hyperlink"/>
    <w:basedOn w:val="8"/>
    <w:unhideWhenUsed/>
    <w:qFormat/>
    <w:uiPriority w:val="99"/>
    <w:rPr>
      <w:color w:val="0026E5" w:themeColor="hyperlink"/>
      <w:u w:val="single"/>
      <w14:textFill>
        <w14:solidFill>
          <w14:schemeClr w14:val="hlink"/>
        </w14:solidFill>
      </w14:textFill>
    </w:rPr>
  </w:style>
  <w:style w:type="paragraph" w:customStyle="1" w:styleId="10">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table" w:customStyle="1" w:styleId="11">
    <w:name w:val="网格型2"/>
    <w:basedOn w:val="7"/>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2026-08-12T08:57:00Z</dcterms:created>
  <dc:creator>WPS_1611312714</dc:creator>
  <cp:lastModifiedBy>WPS_1611312714</cp:lastModifiedBy>
  <dcterms:modified xsi:type="dcterms:W3CDTF">2026-08-12T08:58:07Z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C7469668F0C44002A8231DF869E9347C_11</vt:lpwstr>
  </property>
  <property fmtid="{D5CDD505-2E9C-101B-9397-08002B2CF9AE}" pid="4" name="KSOTemplateDocerSaveRecord">
    <vt:lpwstr>eyJoZGlkIjoiMTU5ODRiOGEzNjkxOTFjOGM0ZTY0MDUwMmVlZmYzNzciLCJ1c2VySWQiOiIxMTY0NTM1NzIzIn0=</vt:lpwstr>
  </property>
</Properties>
</file>